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B8" w:rsidRPr="008E6FB8" w:rsidRDefault="008E6FB8" w:rsidP="008E6FB8">
      <w:pPr>
        <w:spacing w:after="0" w:line="360" w:lineRule="auto"/>
        <w:jc w:val="center"/>
        <w:rPr>
          <w:rFonts w:ascii="方正小标宋简体" w:eastAsia="方正小标宋简体" w:hAnsi="华文中宋" w:cs="Arial" w:hint="eastAsia"/>
          <w:sz w:val="32"/>
          <w:szCs w:val="32"/>
          <w:lang w:eastAsia="zh-CN"/>
        </w:rPr>
      </w:pPr>
      <w:r w:rsidRPr="008E6FB8">
        <w:rPr>
          <w:rFonts w:ascii="方正小标宋简体" w:eastAsia="方正小标宋简体" w:hAnsi="华文中宋" w:cs="Arial" w:hint="eastAsia"/>
          <w:sz w:val="32"/>
          <w:szCs w:val="32"/>
          <w:lang w:eastAsia="zh-CN"/>
        </w:rPr>
        <w:t>关于印发《政府会计准则制度解释第1号》的通知</w:t>
      </w:r>
    </w:p>
    <w:p w:rsidR="008E6FB8" w:rsidRPr="008E6FB8" w:rsidRDefault="008E6FB8" w:rsidP="008E6FB8">
      <w:pPr>
        <w:spacing w:after="0" w:line="360" w:lineRule="auto"/>
        <w:jc w:val="center"/>
        <w:rPr>
          <w:rFonts w:ascii="仿宋_GB2312" w:eastAsia="仿宋_GB2312" w:hAnsi="华文中宋" w:cs="Arial" w:hint="eastAsia"/>
          <w:sz w:val="28"/>
          <w:szCs w:val="32"/>
          <w:lang w:eastAsia="zh-CN"/>
        </w:rPr>
      </w:pPr>
      <w:r w:rsidRPr="008E6FB8">
        <w:rPr>
          <w:rFonts w:ascii="仿宋_GB2312" w:eastAsia="仿宋_GB2312" w:hAnsi="华文中宋" w:cs="Arial" w:hint="eastAsia"/>
          <w:sz w:val="28"/>
          <w:szCs w:val="32"/>
          <w:lang w:eastAsia="zh-CN"/>
        </w:rPr>
        <w:t>财会〔2019〕13号</w:t>
      </w:r>
    </w:p>
    <w:p w:rsidR="008E6FB8" w:rsidRPr="008E6FB8" w:rsidRDefault="008E6FB8" w:rsidP="008E6FB8">
      <w:pPr>
        <w:spacing w:after="0" w:line="360" w:lineRule="auto"/>
        <w:jc w:val="both"/>
        <w:rPr>
          <w:rFonts w:ascii="仿宋_GB2312" w:eastAsia="仿宋_GB2312" w:hAnsi="华文中宋" w:cs="Arial"/>
          <w:sz w:val="28"/>
          <w:szCs w:val="32"/>
          <w:lang w:eastAsia="zh-CN"/>
        </w:rPr>
      </w:pPr>
    </w:p>
    <w:p w:rsidR="008E6FB8" w:rsidRPr="008E6FB8" w:rsidRDefault="008E6FB8" w:rsidP="008E6FB8">
      <w:pPr>
        <w:spacing w:after="0" w:line="360" w:lineRule="auto"/>
        <w:jc w:val="both"/>
        <w:rPr>
          <w:rFonts w:ascii="仿宋_GB2312" w:eastAsia="仿宋_GB2312" w:hAnsi="华文中宋" w:cs="Arial" w:hint="eastAsia"/>
          <w:sz w:val="28"/>
          <w:szCs w:val="32"/>
          <w:lang w:eastAsia="zh-CN"/>
        </w:rPr>
      </w:pPr>
      <w:r w:rsidRPr="008E6FB8">
        <w:rPr>
          <w:rFonts w:ascii="仿宋_GB2312" w:eastAsia="仿宋_GB2312" w:hAnsi="华文中宋" w:cs="Arial" w:hint="eastAsia"/>
          <w:sz w:val="28"/>
          <w:szCs w:val="32"/>
          <w:lang w:eastAsia="zh-CN"/>
        </w:rPr>
        <w:t>党中央有关部门，国务院各部委、各直属机构，全国人大常委会办公厅，全国政协办公厅，高法院，高检院，各民主党派中央，有关人民团体，各省、自治区、直辖市、计划单列市财政厅(局)，新疆生产建设兵团财政局：</w:t>
      </w:r>
    </w:p>
    <w:p w:rsidR="008E6FB8" w:rsidRPr="008E6FB8" w:rsidRDefault="008E6FB8" w:rsidP="008E6FB8">
      <w:pPr>
        <w:spacing w:after="0" w:line="360" w:lineRule="auto"/>
        <w:jc w:val="both"/>
        <w:rPr>
          <w:rFonts w:ascii="仿宋_GB2312" w:eastAsia="仿宋_GB2312" w:hAnsi="华文中宋" w:cs="Arial" w:hint="eastAsia"/>
          <w:sz w:val="28"/>
          <w:szCs w:val="32"/>
          <w:lang w:eastAsia="zh-CN"/>
        </w:rPr>
      </w:pPr>
      <w:r w:rsidRPr="008E6FB8">
        <w:rPr>
          <w:rFonts w:ascii="仿宋_GB2312" w:eastAsia="仿宋_GB2312" w:hAnsi="华文中宋" w:cs="Arial" w:hint="eastAsia"/>
          <w:sz w:val="28"/>
          <w:szCs w:val="32"/>
          <w:lang w:eastAsia="zh-CN"/>
        </w:rPr>
        <w:t xml:space="preserve">　　为了进一步健全和完善政府会计准则制度，确保政府会计准则制度有效实施，根据《政府会计准则——基本准则》(财政部令第78号)，我们制定了《政府会计准则制度解释第1号》，现予印发，请遵照执行。</w:t>
      </w:r>
    </w:p>
    <w:p w:rsidR="008E6FB8" w:rsidRPr="008E6FB8" w:rsidRDefault="008E6FB8" w:rsidP="008E6FB8">
      <w:pPr>
        <w:spacing w:after="0" w:line="360" w:lineRule="auto"/>
        <w:jc w:val="both"/>
        <w:rPr>
          <w:rFonts w:ascii="仿宋_GB2312" w:eastAsia="仿宋_GB2312" w:hAnsi="华文中宋" w:cs="Arial" w:hint="eastAsia"/>
          <w:sz w:val="28"/>
          <w:szCs w:val="32"/>
          <w:lang w:eastAsia="zh-CN"/>
        </w:rPr>
      </w:pPr>
      <w:r w:rsidRPr="008E6FB8">
        <w:rPr>
          <w:rFonts w:ascii="仿宋_GB2312" w:eastAsia="仿宋_GB2312" w:hAnsi="华文中宋" w:cs="Arial" w:hint="eastAsia"/>
          <w:sz w:val="28"/>
          <w:szCs w:val="32"/>
          <w:lang w:eastAsia="zh-CN"/>
        </w:rPr>
        <w:t xml:space="preserve">　　执行中有何问题，请及时反馈我部。</w:t>
      </w:r>
    </w:p>
    <w:p w:rsidR="008E6FB8" w:rsidRPr="008E6FB8" w:rsidRDefault="008E6FB8" w:rsidP="008E6FB8">
      <w:pPr>
        <w:spacing w:after="0" w:line="360" w:lineRule="auto"/>
        <w:jc w:val="both"/>
        <w:rPr>
          <w:rFonts w:ascii="仿宋_GB2312" w:eastAsia="仿宋_GB2312" w:hAnsi="华文中宋" w:cs="Arial" w:hint="eastAsia"/>
          <w:sz w:val="28"/>
          <w:szCs w:val="32"/>
          <w:lang w:eastAsia="zh-CN"/>
        </w:rPr>
      </w:pPr>
      <w:r w:rsidRPr="008E6FB8">
        <w:rPr>
          <w:rFonts w:ascii="仿宋_GB2312" w:eastAsia="仿宋_GB2312" w:hAnsi="华文中宋" w:cs="Arial" w:hint="eastAsia"/>
          <w:sz w:val="28"/>
          <w:szCs w:val="32"/>
          <w:lang w:eastAsia="zh-CN"/>
        </w:rPr>
        <w:t xml:space="preserve">　　附件：政府会计准则制度解释第1号</w:t>
      </w:r>
    </w:p>
    <w:p w:rsidR="008E6FB8" w:rsidRPr="008E6FB8" w:rsidRDefault="008E6FB8" w:rsidP="008E6FB8">
      <w:pPr>
        <w:spacing w:after="0" w:line="360" w:lineRule="auto"/>
        <w:jc w:val="both"/>
        <w:rPr>
          <w:rFonts w:ascii="仿宋_GB2312" w:eastAsia="仿宋_GB2312" w:hAnsi="华文中宋" w:cs="Arial"/>
          <w:sz w:val="28"/>
          <w:szCs w:val="32"/>
          <w:lang w:eastAsia="zh-CN"/>
        </w:rPr>
      </w:pPr>
      <w:bookmarkStart w:id="0" w:name="_GoBack"/>
      <w:bookmarkEnd w:id="0"/>
    </w:p>
    <w:p w:rsidR="008E6FB8" w:rsidRPr="008E6FB8" w:rsidRDefault="008E6FB8" w:rsidP="008571E9">
      <w:pPr>
        <w:spacing w:after="0" w:line="360" w:lineRule="auto"/>
        <w:jc w:val="right"/>
        <w:rPr>
          <w:rFonts w:ascii="仿宋_GB2312" w:eastAsia="仿宋_GB2312" w:hAnsi="华文中宋" w:cs="Arial" w:hint="eastAsia"/>
          <w:sz w:val="28"/>
          <w:szCs w:val="32"/>
          <w:lang w:eastAsia="zh-CN"/>
        </w:rPr>
      </w:pPr>
      <w:r w:rsidRPr="008E6FB8">
        <w:rPr>
          <w:rFonts w:ascii="仿宋_GB2312" w:eastAsia="仿宋_GB2312" w:hAnsi="华文中宋" w:cs="Arial" w:hint="eastAsia"/>
          <w:sz w:val="28"/>
          <w:szCs w:val="32"/>
          <w:lang w:eastAsia="zh-CN"/>
        </w:rPr>
        <w:t xml:space="preserve">　　财　政　部</w:t>
      </w:r>
    </w:p>
    <w:p w:rsidR="008E6FB8" w:rsidRPr="008E6FB8" w:rsidRDefault="008E6FB8" w:rsidP="008571E9">
      <w:pPr>
        <w:spacing w:after="0" w:line="360" w:lineRule="auto"/>
        <w:jc w:val="right"/>
        <w:rPr>
          <w:rFonts w:ascii="仿宋_GB2312" w:eastAsia="仿宋_GB2312" w:hAnsi="华文中宋" w:cs="Arial"/>
          <w:sz w:val="28"/>
          <w:szCs w:val="32"/>
          <w:lang w:eastAsia="zh-CN"/>
        </w:rPr>
      </w:pPr>
    </w:p>
    <w:p w:rsidR="008E6FB8" w:rsidRPr="008E6FB8" w:rsidRDefault="008E6FB8" w:rsidP="008571E9">
      <w:pPr>
        <w:spacing w:after="0" w:line="360" w:lineRule="auto"/>
        <w:jc w:val="right"/>
        <w:rPr>
          <w:rFonts w:ascii="仿宋_GB2312" w:eastAsia="仿宋_GB2312" w:hAnsi="华文中宋" w:cs="Arial" w:hint="eastAsia"/>
          <w:sz w:val="28"/>
          <w:szCs w:val="32"/>
          <w:lang w:eastAsia="zh-CN"/>
        </w:rPr>
      </w:pPr>
      <w:r w:rsidRPr="008E6FB8">
        <w:rPr>
          <w:rFonts w:ascii="仿宋_GB2312" w:eastAsia="仿宋_GB2312" w:hAnsi="华文中宋" w:cs="Arial" w:hint="eastAsia"/>
          <w:sz w:val="28"/>
          <w:szCs w:val="32"/>
          <w:lang w:eastAsia="zh-CN"/>
        </w:rPr>
        <w:t xml:space="preserve">　　2019年7月16日</w:t>
      </w:r>
    </w:p>
    <w:p w:rsidR="008E6FB8" w:rsidRPr="008E6FB8" w:rsidRDefault="008E6FB8" w:rsidP="008E6FB8">
      <w:pPr>
        <w:spacing w:after="0" w:line="360" w:lineRule="auto"/>
        <w:jc w:val="both"/>
        <w:rPr>
          <w:rFonts w:ascii="仿宋_GB2312" w:eastAsia="仿宋_GB2312" w:hAnsi="华文中宋" w:cs="Arial" w:hint="eastAsia"/>
          <w:b/>
          <w:sz w:val="32"/>
          <w:szCs w:val="32"/>
          <w:lang w:eastAsia="zh-CN"/>
        </w:rPr>
      </w:pPr>
      <w:r w:rsidRPr="008E6FB8">
        <w:rPr>
          <w:rFonts w:ascii="仿宋_GB2312" w:eastAsia="仿宋_GB2312" w:hAnsi="华文中宋" w:cs="Arial"/>
          <w:b/>
          <w:sz w:val="32"/>
          <w:szCs w:val="32"/>
          <w:lang w:eastAsia="zh-CN"/>
        </w:rPr>
        <w:t xml:space="preserve"> </w:t>
      </w:r>
    </w:p>
    <w:p w:rsidR="008E6FB8" w:rsidRDefault="008E6FB8" w:rsidP="008E6FB8">
      <w:pPr>
        <w:spacing w:after="0" w:line="360" w:lineRule="auto"/>
        <w:jc w:val="both"/>
        <w:rPr>
          <w:rFonts w:ascii="仿宋_GB2312" w:eastAsia="仿宋_GB2312" w:hAnsi="华文中宋" w:cs="Arial"/>
          <w:b/>
          <w:sz w:val="32"/>
          <w:szCs w:val="32"/>
          <w:lang w:eastAsia="zh-CN"/>
        </w:rPr>
        <w:sectPr w:rsidR="008E6FB8" w:rsidSect="00096BA9">
          <w:footerReference w:type="default" r:id="rId8"/>
          <w:pgSz w:w="11906" w:h="16838"/>
          <w:pgMar w:top="1440" w:right="1800" w:bottom="1440" w:left="1800" w:header="851" w:footer="992" w:gutter="0"/>
          <w:cols w:space="425"/>
          <w:docGrid w:type="lines" w:linePitch="312"/>
        </w:sectPr>
      </w:pPr>
      <w:r w:rsidRPr="008E6FB8">
        <w:rPr>
          <w:rFonts w:ascii="仿宋_GB2312" w:eastAsia="仿宋_GB2312" w:hAnsi="华文中宋" w:cs="Arial"/>
          <w:b/>
          <w:sz w:val="32"/>
          <w:szCs w:val="32"/>
          <w:lang w:eastAsia="zh-CN"/>
        </w:rPr>
        <w:t xml:space="preserve"> </w:t>
      </w:r>
    </w:p>
    <w:p w:rsidR="003A548C" w:rsidRPr="00D05702" w:rsidRDefault="00F94C79" w:rsidP="00F40943">
      <w:pPr>
        <w:spacing w:after="0" w:line="360" w:lineRule="auto"/>
        <w:jc w:val="both"/>
        <w:rPr>
          <w:rFonts w:ascii="仿宋_GB2312" w:eastAsia="仿宋_GB2312" w:hAnsi="华文中宋" w:cs="Arial"/>
          <w:b/>
          <w:sz w:val="32"/>
          <w:szCs w:val="32"/>
          <w:lang w:eastAsia="zh-CN"/>
        </w:rPr>
      </w:pPr>
      <w:r w:rsidRPr="00D05702">
        <w:rPr>
          <w:rFonts w:ascii="仿宋_GB2312" w:eastAsia="仿宋_GB2312" w:hAnsi="华文中宋" w:cs="Arial" w:hint="eastAsia"/>
          <w:b/>
          <w:sz w:val="32"/>
          <w:szCs w:val="32"/>
          <w:lang w:eastAsia="zh-CN"/>
        </w:rPr>
        <w:lastRenderedPageBreak/>
        <w:t>附件：</w:t>
      </w:r>
    </w:p>
    <w:p w:rsidR="00096BA9" w:rsidRPr="00D05702" w:rsidRDefault="00096BA9" w:rsidP="00F40943">
      <w:pPr>
        <w:spacing w:after="0" w:line="360" w:lineRule="auto"/>
        <w:jc w:val="both"/>
        <w:rPr>
          <w:rFonts w:ascii="仿宋_GB2312" w:eastAsia="仿宋_GB2312" w:hAnsi="华文中宋" w:cs="Arial"/>
          <w:b/>
          <w:sz w:val="32"/>
          <w:szCs w:val="32"/>
          <w:lang w:eastAsia="zh-CN"/>
        </w:rPr>
      </w:pPr>
    </w:p>
    <w:p w:rsidR="003A548C" w:rsidRPr="00D05702" w:rsidRDefault="00F94C79" w:rsidP="00F40943">
      <w:pPr>
        <w:spacing w:after="0" w:line="360" w:lineRule="auto"/>
        <w:jc w:val="center"/>
        <w:rPr>
          <w:rFonts w:ascii="华文中宋" w:eastAsia="华文中宋" w:hAnsi="华文中宋" w:cs="Arial"/>
          <w:b/>
          <w:sz w:val="36"/>
          <w:szCs w:val="36"/>
          <w:lang w:eastAsia="zh-CN"/>
        </w:rPr>
      </w:pPr>
      <w:r w:rsidRPr="00D05702">
        <w:rPr>
          <w:rFonts w:ascii="华文中宋" w:eastAsia="华文中宋" w:hAnsi="华文中宋" w:cs="Arial" w:hint="eastAsia"/>
          <w:b/>
          <w:sz w:val="36"/>
          <w:szCs w:val="36"/>
          <w:lang w:eastAsia="zh-CN"/>
        </w:rPr>
        <w:t>政府会计准则制度解释第1号</w:t>
      </w:r>
    </w:p>
    <w:p w:rsidR="003A548C" w:rsidRPr="00D05702" w:rsidRDefault="003A548C" w:rsidP="00F40943">
      <w:pPr>
        <w:spacing w:after="0" w:line="360" w:lineRule="auto"/>
        <w:jc w:val="center"/>
        <w:rPr>
          <w:rFonts w:ascii="仿宋_GB2312" w:eastAsia="仿宋_GB2312" w:hAnsiTheme="minorEastAsia" w:cs="Arial"/>
          <w:sz w:val="32"/>
          <w:szCs w:val="32"/>
          <w:lang w:eastAsia="zh-CN"/>
        </w:rPr>
      </w:pPr>
    </w:p>
    <w:p w:rsidR="003A548C" w:rsidRPr="00EF1950" w:rsidRDefault="00F94C79"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一、关于企业集团中的事业单位会计制度执行问题</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企业集团中纳入部门预算编报范围的事业单位（不含执行《军工科研事业单位会计制度》的事业单位，下同）应当按照政府会计准则制度进行会计核算；企业集团中未纳入部门预算编报范围的事业单位，可以不执行《政府会计制度——行政事业单位会计科目和报表》（以下称《政府会计制度》）中的预算会计内容，只执行财务会计内容。</w:t>
      </w:r>
    </w:p>
    <w:p w:rsidR="003A548C" w:rsidRPr="00EF1950" w:rsidRDefault="00F94C79"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二、关于事业单位长期股权投资</w:t>
      </w:r>
      <w:r w:rsidR="00BA01BA" w:rsidRPr="00EF1950">
        <w:rPr>
          <w:rFonts w:ascii="黑体" w:eastAsia="黑体" w:hAnsi="黑体" w:cs="Arial" w:hint="eastAsia"/>
          <w:b/>
          <w:sz w:val="32"/>
          <w:szCs w:val="32"/>
          <w:lang w:eastAsia="zh-CN"/>
        </w:rPr>
        <w:t>的</w:t>
      </w:r>
      <w:r w:rsidRPr="00EF1950">
        <w:rPr>
          <w:rFonts w:ascii="黑体" w:eastAsia="黑体" w:hAnsi="黑体" w:cs="Arial" w:hint="eastAsia"/>
          <w:b/>
          <w:sz w:val="32"/>
          <w:szCs w:val="32"/>
          <w:lang w:eastAsia="zh-CN"/>
        </w:rPr>
        <w:t>会计处理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一）事业单位采用权益法核算长期股权投资、且被投资单位编制合并财务报表的，在持有投资期间，应当以被投资单位合并财务报表中归属于母公司的净利润和其他所有者权益变动为基础，计算确定应当调整长期股权投资账面余额的金额，并进行相关会计处理。</w:t>
      </w:r>
    </w:p>
    <w:p w:rsidR="003A548C" w:rsidRPr="00D05702" w:rsidRDefault="00F94C79" w:rsidP="008E6FB8">
      <w:pPr>
        <w:widowControl w:val="0"/>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（二)事业单位以其持有的科技成果取得的长期股权投资，应当按照评估价值加相关税费作为投资成本。</w:t>
      </w:r>
      <w:r w:rsidR="00D05702" w:rsidRPr="00D05702">
        <w:rPr>
          <w:rFonts w:ascii="仿宋_GB2312" w:eastAsia="仿宋_GB2312" w:hAnsiTheme="minorEastAsia" w:cs="Arial" w:hint="eastAsia"/>
          <w:sz w:val="32"/>
          <w:szCs w:val="32"/>
          <w:lang w:eastAsia="zh-CN"/>
        </w:rPr>
        <w:t>事业</w:t>
      </w:r>
      <w:r w:rsidRPr="00D05702">
        <w:rPr>
          <w:rFonts w:ascii="仿宋_GB2312" w:eastAsia="仿宋_GB2312" w:hAnsiTheme="minorEastAsia" w:cs="Arial" w:hint="eastAsia"/>
          <w:sz w:val="32"/>
          <w:szCs w:val="32"/>
          <w:lang w:eastAsia="zh-CN"/>
        </w:rPr>
        <w:t>单位按规定通过协议定价、在技术交易市场挂牌交易、拍卖等方式确定价格的，应当按照以上方式确定的价格加相</w:t>
      </w:r>
      <w:r w:rsidRPr="00D05702">
        <w:rPr>
          <w:rFonts w:ascii="仿宋_GB2312" w:eastAsia="仿宋_GB2312" w:hAnsiTheme="minorEastAsia" w:cs="Arial" w:hint="eastAsia"/>
          <w:sz w:val="32"/>
          <w:szCs w:val="32"/>
          <w:lang w:eastAsia="zh-CN"/>
        </w:rPr>
        <w:lastRenderedPageBreak/>
        <w:t>关税费作为投资成本。</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三）事业单位处置以科技成果转化形成的长期股权投资，按规定所取得的收入全部留归本单位的，应当按照实际取得的价款，借记“银行存款”等科目，按照被处置长期股权投资的账面余额，贷记“长期股权投资”科目，按照尚未领取的现金股利或利润，贷记“应收股利”科目，按照发生的相关税费等支出，贷记“银行存款”等科目，按照借贷方差额，借记或贷记“投资收益”科目；同时，在预算会计中，按照实际取得的价款，借记“资金结存——货币资金”科目，按照处置时确认的投资收益金额，贷记“投资预算收益”科目，按照贷方差额，贷记“其他预算收入”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（四）权益法下，事业单位处置以现金以外的其他资产取得的（不含科技成果转化形成的）长期股权投资时，按规定将取得的投资收益</w:t>
      </w:r>
      <w:r w:rsidR="00BA01BA" w:rsidRPr="00D05702">
        <w:rPr>
          <w:rFonts w:ascii="仿宋_GB2312" w:eastAsia="仿宋_GB2312" w:hAnsiTheme="minorEastAsia" w:cs="Arial" w:hint="eastAsia"/>
          <w:sz w:val="32"/>
          <w:szCs w:val="32"/>
          <w:lang w:eastAsia="zh-CN"/>
        </w:rPr>
        <w:t>（</w:t>
      </w:r>
      <w:r w:rsidR="00FD07D9" w:rsidRPr="00D05702">
        <w:rPr>
          <w:rFonts w:ascii="仿宋_GB2312" w:eastAsia="仿宋_GB2312" w:hAnsiTheme="minorEastAsia" w:cs="Arial" w:hint="eastAsia"/>
          <w:sz w:val="32"/>
          <w:szCs w:val="32"/>
          <w:lang w:eastAsia="zh-CN"/>
        </w:rPr>
        <w:t>此处的投资收益，是指</w:t>
      </w:r>
      <w:r w:rsidR="00BA01BA" w:rsidRPr="00D05702">
        <w:rPr>
          <w:rFonts w:ascii="仿宋_GB2312" w:eastAsia="仿宋_GB2312" w:hAnsiTheme="minorEastAsia" w:cs="Arial" w:hint="eastAsia"/>
          <w:sz w:val="32"/>
          <w:szCs w:val="32"/>
          <w:lang w:eastAsia="zh-CN"/>
        </w:rPr>
        <w:t>长期股权投资处置价款扣除长期股权投资成本和相关税费后的差额）</w:t>
      </w:r>
      <w:r w:rsidRPr="00D05702">
        <w:rPr>
          <w:rFonts w:ascii="仿宋_GB2312" w:eastAsia="仿宋_GB2312" w:hAnsiTheme="minorEastAsia" w:cs="Arial" w:hint="eastAsia"/>
          <w:sz w:val="32"/>
          <w:szCs w:val="32"/>
          <w:lang w:eastAsia="zh-CN"/>
        </w:rPr>
        <w:t>纳入本单位预算管理的，分别以下两种情况处理：</w:t>
      </w:r>
    </w:p>
    <w:p w:rsidR="003A548C" w:rsidRPr="00D05702" w:rsidRDefault="00F94C79" w:rsidP="008E6FB8">
      <w:pPr>
        <w:widowControl w:val="0"/>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1.长期股权投资的账面余额大于其投资成本的，应当按照被处置长期股权投资的成本，借记“资产处置费用”科目，贷记“长期股权投资——成本”科目；同时，按照实际取得的价款，借记“银行存款”等科目，按照尚未领</w:t>
      </w:r>
      <w:r w:rsidRPr="00D05702">
        <w:rPr>
          <w:rFonts w:ascii="仿宋_GB2312" w:eastAsia="仿宋_GB2312" w:hAnsiTheme="minorEastAsia" w:cs="Arial" w:hint="eastAsia"/>
          <w:sz w:val="32"/>
          <w:szCs w:val="32"/>
          <w:lang w:eastAsia="zh-CN"/>
        </w:rPr>
        <w:lastRenderedPageBreak/>
        <w:t>取的现金股利或利润，贷记“应收股利”科目，按照发生的相关税费等支出，贷记“银行存款”等科目，按照长期股权投资的账面余额减去其投资成本的差额，贷记“长期股权投资——损益调整、其他权益变动”科目（以上明细科目为贷方余额的，借记相关明细科目），按照实际取得的价款</w:t>
      </w:r>
      <w:r w:rsidR="006C53C8" w:rsidRPr="00D05702">
        <w:rPr>
          <w:rFonts w:ascii="仿宋_GB2312" w:eastAsia="仿宋_GB2312" w:hAnsiTheme="minorEastAsia" w:cs="Arial" w:hint="eastAsia"/>
          <w:sz w:val="32"/>
          <w:szCs w:val="32"/>
          <w:lang w:eastAsia="zh-CN"/>
        </w:rPr>
        <w:t>与</w:t>
      </w:r>
      <w:r w:rsidR="00097A0A" w:rsidRPr="00D05702">
        <w:rPr>
          <w:rFonts w:ascii="仿宋_GB2312" w:eastAsia="仿宋_GB2312" w:hAnsiTheme="minorEastAsia" w:cs="Arial" w:hint="eastAsia"/>
          <w:sz w:val="32"/>
          <w:szCs w:val="32"/>
          <w:lang w:eastAsia="zh-CN"/>
        </w:rPr>
        <w:t>被处置</w:t>
      </w:r>
      <w:r w:rsidRPr="00D05702">
        <w:rPr>
          <w:rFonts w:ascii="仿宋_GB2312" w:eastAsia="仿宋_GB2312" w:hAnsiTheme="minorEastAsia" w:cs="Arial" w:hint="eastAsia"/>
          <w:sz w:val="32"/>
          <w:szCs w:val="32"/>
          <w:lang w:eastAsia="zh-CN"/>
        </w:rPr>
        <w:t>长期股权投资账面余额</w:t>
      </w:r>
      <w:r w:rsidR="00097A0A" w:rsidRPr="00D05702">
        <w:rPr>
          <w:rFonts w:ascii="仿宋_GB2312" w:eastAsia="仿宋_GB2312" w:hAnsiTheme="minorEastAsia" w:cs="Arial" w:hint="eastAsia"/>
          <w:sz w:val="32"/>
          <w:szCs w:val="32"/>
          <w:lang w:eastAsia="zh-CN"/>
        </w:rPr>
        <w:t>、应收股利账面余额和相关税费支出合计</w:t>
      </w:r>
      <w:r w:rsidR="006C53C8" w:rsidRPr="00D05702">
        <w:rPr>
          <w:rFonts w:ascii="仿宋_GB2312" w:eastAsia="仿宋_GB2312" w:hAnsiTheme="minorEastAsia" w:cs="Arial" w:hint="eastAsia"/>
          <w:sz w:val="32"/>
          <w:szCs w:val="32"/>
          <w:lang w:eastAsia="zh-CN"/>
        </w:rPr>
        <w:t>数</w:t>
      </w:r>
      <w:r w:rsidRPr="00D05702">
        <w:rPr>
          <w:rFonts w:ascii="仿宋_GB2312" w:eastAsia="仿宋_GB2312" w:hAnsiTheme="minorEastAsia" w:cs="Arial" w:hint="eastAsia"/>
          <w:sz w:val="32"/>
          <w:szCs w:val="32"/>
          <w:lang w:eastAsia="zh-CN"/>
        </w:rPr>
        <w:t>的差额，贷记或借记“投资收益”科目，按照贷方差额，贷记“应缴财政款”科目。预算会计的账务处理按照《政府会计制度》进行。</w:t>
      </w:r>
    </w:p>
    <w:p w:rsidR="003A548C" w:rsidRPr="00D05702" w:rsidRDefault="00C84E18"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这种情况下的会计分录</w:t>
      </w:r>
      <w:r w:rsidR="00F94C79" w:rsidRPr="00D05702">
        <w:rPr>
          <w:rFonts w:ascii="仿宋_GB2312" w:eastAsia="仿宋_GB2312" w:hAnsiTheme="minorEastAsia" w:cs="Arial" w:hint="eastAsia"/>
          <w:sz w:val="32"/>
          <w:szCs w:val="32"/>
          <w:lang w:eastAsia="zh-CN"/>
        </w:rPr>
        <w:t>举例如下：</w:t>
      </w:r>
    </w:p>
    <w:tbl>
      <w:tblPr>
        <w:tblStyle w:val="af8"/>
        <w:tblW w:w="8522" w:type="dxa"/>
        <w:tblLayout w:type="fixed"/>
        <w:tblLook w:val="04A0" w:firstRow="1" w:lastRow="0" w:firstColumn="1" w:lastColumn="0" w:noHBand="0" w:noVBand="1"/>
      </w:tblPr>
      <w:tblGrid>
        <w:gridCol w:w="4261"/>
        <w:gridCol w:w="4261"/>
      </w:tblGrid>
      <w:tr w:rsidR="003A548C" w:rsidRPr="00D05702">
        <w:tc>
          <w:tcPr>
            <w:tcW w:w="4261"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财务会计</w:t>
            </w:r>
          </w:p>
        </w:tc>
        <w:tc>
          <w:tcPr>
            <w:tcW w:w="4261"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预算会计</w:t>
            </w:r>
          </w:p>
        </w:tc>
      </w:tr>
      <w:tr w:rsidR="003A548C" w:rsidRPr="00D05702">
        <w:tc>
          <w:tcPr>
            <w:tcW w:w="4261" w:type="dxa"/>
          </w:tcPr>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借：资产处置费用</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贷：长期股权投资——成本</w:t>
            </w: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借：银行存款</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贷：应收股利（如有）</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长期股权投资——损益调整、其他权益变动（也可能在借方）</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银行存款（相关税费）</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投资收益（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w:t>
            </w:r>
            <w:r w:rsidR="006C53C8" w:rsidRPr="00D05702">
              <w:rPr>
                <w:rFonts w:ascii="仿宋_GB2312" w:eastAsia="仿宋_GB2312" w:hAnsiTheme="minorEastAsia" w:cs="Arial" w:hint="eastAsia"/>
                <w:sz w:val="24"/>
                <w:szCs w:val="24"/>
                <w:lang w:eastAsia="zh-CN"/>
              </w:rPr>
              <w:t>与</w:t>
            </w:r>
            <w:r w:rsidRPr="00D05702">
              <w:rPr>
                <w:rFonts w:ascii="仿宋_GB2312" w:eastAsia="仿宋_GB2312" w:hAnsiTheme="minorEastAsia" w:cs="Arial" w:hint="eastAsia"/>
                <w:sz w:val="24"/>
                <w:szCs w:val="24"/>
                <w:lang w:eastAsia="zh-CN"/>
              </w:rPr>
              <w:t>投资账面余额</w:t>
            </w:r>
            <w:r w:rsidR="00097A0A" w:rsidRPr="00D05702">
              <w:rPr>
                <w:rFonts w:ascii="仿宋_GB2312" w:eastAsia="仿宋_GB2312" w:hAnsiTheme="minorEastAsia" w:cs="Arial" w:hint="eastAsia"/>
                <w:sz w:val="24"/>
                <w:szCs w:val="24"/>
                <w:lang w:eastAsia="zh-CN"/>
              </w:rPr>
              <w:t>、应收股利账面余额和相关税费支出合计</w:t>
            </w:r>
            <w:r w:rsidR="006C53C8" w:rsidRPr="00D05702">
              <w:rPr>
                <w:rFonts w:ascii="仿宋_GB2312" w:eastAsia="仿宋_GB2312" w:hAnsiTheme="minorEastAsia" w:cs="Arial" w:hint="eastAsia"/>
                <w:sz w:val="24"/>
                <w:szCs w:val="24"/>
                <w:lang w:eastAsia="zh-CN"/>
              </w:rPr>
              <w:t>数</w:t>
            </w:r>
            <w:r w:rsidRPr="00D05702">
              <w:rPr>
                <w:rFonts w:ascii="仿宋_GB2312" w:eastAsia="仿宋_GB2312" w:hAnsiTheme="minorEastAsia" w:cs="Arial" w:hint="eastAsia"/>
                <w:sz w:val="24"/>
                <w:szCs w:val="24"/>
                <w:lang w:eastAsia="zh-CN"/>
              </w:rPr>
              <w:t>的差额</w:t>
            </w:r>
            <w:r w:rsidR="00B91FED" w:rsidRPr="00D05702">
              <w:rPr>
                <w:rFonts w:ascii="仿宋_GB2312" w:eastAsia="仿宋_GB2312" w:hAnsiTheme="minorEastAsia" w:cs="Arial" w:hint="eastAsia"/>
                <w:sz w:val="24"/>
                <w:szCs w:val="24"/>
                <w:lang w:eastAsia="zh-CN"/>
              </w:rPr>
              <w:t>）</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 xml:space="preserve">应缴财政款    </w:t>
            </w:r>
          </w:p>
        </w:tc>
        <w:tc>
          <w:tcPr>
            <w:tcW w:w="4261" w:type="dxa"/>
          </w:tcPr>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借：资金结存——货币资金</w:t>
            </w:r>
          </w:p>
          <w:p w:rsidR="003A548C" w:rsidRPr="00D05702" w:rsidRDefault="00F94C79" w:rsidP="00B91FED">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 xml:space="preserve">    贷：投资预算收益（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价款减去投资成本和相关税费后的金额）</w:t>
            </w:r>
          </w:p>
        </w:tc>
      </w:tr>
    </w:tbl>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2.长期股权投资的账面余额小于或等于其投资成本的，应当按照被处置长期股权投资的账面余额，借记“资</w:t>
      </w:r>
      <w:r w:rsidRPr="00D05702">
        <w:rPr>
          <w:rFonts w:ascii="仿宋_GB2312" w:eastAsia="仿宋_GB2312" w:hAnsiTheme="minorEastAsia" w:cs="Arial" w:hint="eastAsia"/>
          <w:sz w:val="32"/>
          <w:szCs w:val="32"/>
          <w:lang w:eastAsia="zh-CN"/>
        </w:rPr>
        <w:lastRenderedPageBreak/>
        <w:t>产处置费用”科目，按照长期股权投资各明细科目的余额，贷记“长期股权投资——成本”科目，贷记或借记“长期股权投资——损益调整、其他权益变动”科目；同时，按照实际取得的价款，借记“银行存款”等科目，按照尚未领取的现金股利或利润，贷记“应收股利”科目，按照发生的相关税费等支出，贷记“银行存款”等科目，按照实际取得的价款大于</w:t>
      </w:r>
      <w:r w:rsidR="001469E5" w:rsidRPr="00D05702">
        <w:rPr>
          <w:rFonts w:ascii="仿宋_GB2312" w:eastAsia="仿宋_GB2312" w:hAnsiTheme="minorEastAsia" w:cs="Arial" w:hint="eastAsia"/>
          <w:sz w:val="32"/>
          <w:szCs w:val="32"/>
          <w:lang w:eastAsia="zh-CN"/>
        </w:rPr>
        <w:t>被处置</w:t>
      </w:r>
      <w:r w:rsidRPr="00D05702">
        <w:rPr>
          <w:rFonts w:ascii="仿宋_GB2312" w:eastAsia="仿宋_GB2312" w:hAnsiTheme="minorEastAsia" w:cs="Arial" w:hint="eastAsia"/>
          <w:sz w:val="32"/>
          <w:szCs w:val="32"/>
          <w:lang w:eastAsia="zh-CN"/>
        </w:rPr>
        <w:t>长期股权投资成本</w:t>
      </w:r>
      <w:r w:rsidR="001469E5" w:rsidRPr="00D05702">
        <w:rPr>
          <w:rFonts w:ascii="仿宋_GB2312" w:eastAsia="仿宋_GB2312" w:hAnsiTheme="minorEastAsia" w:cs="Arial" w:hint="eastAsia"/>
          <w:sz w:val="32"/>
          <w:szCs w:val="32"/>
          <w:lang w:eastAsia="zh-CN"/>
        </w:rPr>
        <w:t>、应收股利账面余额和相关税费支出合计</w:t>
      </w:r>
      <w:r w:rsidR="007C53CF" w:rsidRPr="00D05702">
        <w:rPr>
          <w:rFonts w:ascii="仿宋_GB2312" w:eastAsia="仿宋_GB2312" w:hAnsiTheme="minorEastAsia" w:cs="Arial" w:hint="eastAsia"/>
          <w:sz w:val="32"/>
          <w:szCs w:val="32"/>
          <w:lang w:eastAsia="zh-CN"/>
        </w:rPr>
        <w:t>数</w:t>
      </w:r>
      <w:r w:rsidRPr="00D05702">
        <w:rPr>
          <w:rFonts w:ascii="仿宋_GB2312" w:eastAsia="仿宋_GB2312" w:hAnsiTheme="minorEastAsia" w:cs="Arial" w:hint="eastAsia"/>
          <w:sz w:val="32"/>
          <w:szCs w:val="32"/>
          <w:lang w:eastAsia="zh-CN"/>
        </w:rPr>
        <w:t>的差额，贷记“投资收益”科目，按照贷方差额，贷记“应缴财政款”科目。预算会计的账务处理按照《政府会计制度》进行。</w:t>
      </w:r>
    </w:p>
    <w:p w:rsidR="003A548C" w:rsidRPr="00D05702" w:rsidRDefault="00C84E18"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这种情况下的会计分录举例如下：</w:t>
      </w:r>
    </w:p>
    <w:tbl>
      <w:tblPr>
        <w:tblStyle w:val="af8"/>
        <w:tblW w:w="8522" w:type="dxa"/>
        <w:tblLayout w:type="fixed"/>
        <w:tblLook w:val="04A0" w:firstRow="1" w:lastRow="0" w:firstColumn="1" w:lastColumn="0" w:noHBand="0" w:noVBand="1"/>
      </w:tblPr>
      <w:tblGrid>
        <w:gridCol w:w="4588"/>
        <w:gridCol w:w="3934"/>
      </w:tblGrid>
      <w:tr w:rsidR="003A548C" w:rsidRPr="00D05702">
        <w:tc>
          <w:tcPr>
            <w:tcW w:w="4588"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财务会计</w:t>
            </w:r>
          </w:p>
        </w:tc>
        <w:tc>
          <w:tcPr>
            <w:tcW w:w="3934"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预算会计</w:t>
            </w:r>
          </w:p>
        </w:tc>
      </w:tr>
      <w:tr w:rsidR="003A548C" w:rsidRPr="00D05702" w:rsidTr="001469E5">
        <w:trPr>
          <w:trHeight w:val="416"/>
        </w:trPr>
        <w:tc>
          <w:tcPr>
            <w:tcW w:w="4588" w:type="dxa"/>
          </w:tcPr>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借：资产处置费用（投资账面余额）</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长期股权投资——损益调整、其他权益变动（部分明细科目余额也可能在贷方）</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贷：长期股权投资——成本</w:t>
            </w: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借：银行存款</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贷：应收股利（如有）</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银行存款（相关税费）</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投资收益（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价款大于投资成本</w:t>
            </w:r>
            <w:r w:rsidR="00097A0A" w:rsidRPr="00D05702">
              <w:rPr>
                <w:rFonts w:ascii="仿宋_GB2312" w:eastAsia="仿宋_GB2312" w:hAnsiTheme="minorEastAsia" w:cs="Arial" w:hint="eastAsia"/>
                <w:sz w:val="24"/>
                <w:szCs w:val="24"/>
                <w:lang w:eastAsia="zh-CN"/>
              </w:rPr>
              <w:t>、应收股利账面余额和相关税费支出合计</w:t>
            </w:r>
            <w:r w:rsidR="007C53CF" w:rsidRPr="00D05702">
              <w:rPr>
                <w:rFonts w:ascii="仿宋_GB2312" w:eastAsia="仿宋_GB2312" w:hAnsiTheme="minorEastAsia" w:cs="Arial" w:hint="eastAsia"/>
                <w:sz w:val="24"/>
                <w:szCs w:val="24"/>
                <w:lang w:eastAsia="zh-CN"/>
              </w:rPr>
              <w:t>数</w:t>
            </w:r>
            <w:r w:rsidRPr="00D05702">
              <w:rPr>
                <w:rFonts w:ascii="仿宋_GB2312" w:eastAsia="仿宋_GB2312" w:hAnsiTheme="minorEastAsia" w:cs="Arial" w:hint="eastAsia"/>
                <w:sz w:val="24"/>
                <w:szCs w:val="24"/>
                <w:lang w:eastAsia="zh-CN"/>
              </w:rPr>
              <w:t>的差额）</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应缴财政款</w:t>
            </w:r>
          </w:p>
        </w:tc>
        <w:tc>
          <w:tcPr>
            <w:tcW w:w="3934" w:type="dxa"/>
          </w:tcPr>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借：资金结存——货币资金</w:t>
            </w:r>
          </w:p>
          <w:p w:rsidR="003A548C" w:rsidRPr="00D05702" w:rsidRDefault="00F94C79" w:rsidP="00B91FED">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 xml:space="preserve">    贷：投资预算收益（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价款减去投资成本和相关税费后的金额）</w:t>
            </w:r>
          </w:p>
        </w:tc>
      </w:tr>
    </w:tbl>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五）事业单位按规定应将长期股权投资持有期间取得的投资净收益，以及以现金取得的长期股权投资处置时取得的净收入（处置价款扣除投资本金和相关税费后的净额）上缴本级财政并纳入一般公共预算管理的，在应收或收到上述有关款项时不确认投资收益，应通过“应缴财政款”科目核算。</w:t>
      </w:r>
    </w:p>
    <w:p w:rsidR="003A548C" w:rsidRPr="00EF1950" w:rsidRDefault="005D727F"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三</w:t>
      </w:r>
      <w:r w:rsidR="00F94C79" w:rsidRPr="00EF1950">
        <w:rPr>
          <w:rFonts w:ascii="黑体" w:eastAsia="黑体" w:hAnsi="黑体" w:cs="Arial" w:hint="eastAsia"/>
          <w:b/>
          <w:sz w:val="32"/>
          <w:szCs w:val="32"/>
          <w:lang w:eastAsia="zh-CN"/>
        </w:rPr>
        <w:t>、关于单位年末暂收暂付非财政资金的会计处理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对于纳入本年度部门预算管理的现金收支业务，在采用财务会计核算的同时应当及时进行预算会计核算。年末结账前，单位应当对暂收暂付款项进行全面清理，并对于纳入本年度部门预算管理的暂收暂付款项进行预算会计处理，确认相关预算收支，确保预算会计信息能够完整反映本年度部门预算收支执行情况。</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一）对于纳入本年度部门预算管理的暂付款项，按照《政府会计制度》规定，单位在支付款项时可不做预算会计处理，待结算或报销时，按照结算或报销的金额，借记相关预算支出科目，贷记“资金结存”科目。但是，在年末结账前，对于尚未结算或报销的暂付款项，单位应当按照暂付的金额，借记相关预算支出科目，贷记“资金结存”科目。以后年度，实际结算或报销金额与已计入预算</w:t>
      </w:r>
      <w:r w:rsidRPr="00D05702">
        <w:rPr>
          <w:rFonts w:ascii="仿宋_GB2312" w:eastAsia="仿宋_GB2312" w:hAnsiTheme="minorEastAsia" w:cs="Arial" w:hint="eastAsia"/>
          <w:sz w:val="32"/>
          <w:szCs w:val="32"/>
          <w:lang w:eastAsia="zh-CN"/>
        </w:rPr>
        <w:lastRenderedPageBreak/>
        <w:t>支出的金额不一致的，单位应当通过相关预算结转结余科目“年初余额调整”明细科目进行处理。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二）对于应当纳入下一年度部门预算管理的暂收款项，单位在收到款项时，借记“银行存款”等科目，贷记“其他应付款”科目；本年度不做预算会计处理。待下一年初，单位应当按照上年暂收的款项金额，借记“其他应付款”科目，贷记有关收入科目；同时在预算会计中，按照暂收款项的金额，借记“资金结存”科目，贷记有关预算收入科目。</w:t>
      </w:r>
    </w:p>
    <w:p w:rsidR="003A548C" w:rsidRPr="00D05702" w:rsidRDefault="00F94C79" w:rsidP="00EF1950">
      <w:pPr>
        <w:widowControl w:val="0"/>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对于应当纳入下一年度部门预算管理的暂付款项，单位在付出款项时，借记“其他应收款”科目，贷记“银行存款”等科目，本年度不做预算会计处理。待下一年实际结算或报销时，单位应当</w:t>
      </w:r>
      <w:r w:rsidR="000C21C2" w:rsidRPr="00D05702">
        <w:rPr>
          <w:rFonts w:ascii="仿宋_GB2312" w:eastAsia="仿宋_GB2312" w:hAnsiTheme="minorEastAsia" w:cs="Arial" w:hint="eastAsia"/>
          <w:sz w:val="32"/>
          <w:szCs w:val="32"/>
          <w:lang w:eastAsia="zh-CN"/>
        </w:rPr>
        <w:t>按照</w:t>
      </w:r>
      <w:r w:rsidRPr="00D05702">
        <w:rPr>
          <w:rFonts w:ascii="仿宋_GB2312" w:eastAsia="仿宋_GB2312" w:hAnsiTheme="minorEastAsia" w:cs="Arial" w:hint="eastAsia"/>
          <w:sz w:val="32"/>
          <w:szCs w:val="32"/>
          <w:lang w:eastAsia="zh-CN"/>
        </w:rPr>
        <w:t>实际结算或报销的金额，借记有关费用科目，按照之前暂付的款项金额，贷记“其他应收款”科目，按</w:t>
      </w:r>
      <w:r w:rsidR="000C21C2" w:rsidRPr="00D05702">
        <w:rPr>
          <w:rFonts w:ascii="仿宋_GB2312" w:eastAsia="仿宋_GB2312" w:hAnsiTheme="minorEastAsia" w:cs="Arial" w:hint="eastAsia"/>
          <w:sz w:val="32"/>
          <w:szCs w:val="32"/>
          <w:lang w:eastAsia="zh-CN"/>
        </w:rPr>
        <w:t>照</w:t>
      </w:r>
      <w:r w:rsidRPr="00D05702">
        <w:rPr>
          <w:rFonts w:ascii="仿宋_GB2312" w:eastAsia="仿宋_GB2312" w:hAnsiTheme="minorEastAsia" w:cs="Arial" w:hint="eastAsia"/>
          <w:sz w:val="32"/>
          <w:szCs w:val="32"/>
          <w:lang w:eastAsia="zh-CN"/>
        </w:rPr>
        <w:t>退回或补付的金额，借记或贷记“银行存款”等科目</w:t>
      </w:r>
      <w:r w:rsidR="000C21C2" w:rsidRPr="00D05702">
        <w:rPr>
          <w:rFonts w:ascii="仿宋_GB2312" w:eastAsia="仿宋_GB2312" w:hAnsiTheme="minorEastAsia" w:cs="Arial" w:hint="eastAsia"/>
          <w:sz w:val="32"/>
          <w:szCs w:val="32"/>
          <w:lang w:eastAsia="zh-CN"/>
        </w:rPr>
        <w:t>;</w:t>
      </w:r>
      <w:r w:rsidRPr="00D05702">
        <w:rPr>
          <w:rFonts w:ascii="仿宋_GB2312" w:eastAsia="仿宋_GB2312" w:hAnsiTheme="minorEastAsia" w:cs="Arial" w:hint="eastAsia"/>
          <w:sz w:val="32"/>
          <w:szCs w:val="32"/>
          <w:lang w:eastAsia="zh-CN"/>
        </w:rPr>
        <w:t>同时，在预算会计中，按照实际结算或报销的金额，借记有关支出科目，贷记“资金结存”科目。下一年度内尚未结算或报销的，按照上述（一）中的规定处理。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（三）对于不纳入部门预算管理的暂收暂付款项（如应上缴、应转拨或应退回的资金），单位应当按照《政府会计制度》规定，仅作财务会计处理，不做预算会计处理。</w:t>
      </w:r>
    </w:p>
    <w:p w:rsidR="003A548C" w:rsidRPr="00EF1950" w:rsidRDefault="005D727F"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四</w:t>
      </w:r>
      <w:r w:rsidR="00F94C79" w:rsidRPr="00EF1950">
        <w:rPr>
          <w:rFonts w:ascii="黑体" w:eastAsia="黑体" w:hAnsi="黑体" w:cs="Arial" w:hint="eastAsia"/>
          <w:b/>
          <w:sz w:val="32"/>
          <w:szCs w:val="32"/>
          <w:lang w:eastAsia="zh-CN"/>
        </w:rPr>
        <w:t>、关于由有关部门统一管理，但由其他部门占有、使用的固定资产的会计处理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按规定由本级政府机关事务管理等部门统一管理（如仅持有资产的产权证等），但具体由其他部门占有、使用的固定资产，应当由占有、使用该资产的部门作为</w:t>
      </w:r>
      <w:r w:rsidR="00AE62A0" w:rsidRPr="00D05702">
        <w:rPr>
          <w:rFonts w:ascii="仿宋_GB2312" w:eastAsia="仿宋_GB2312" w:hAnsiTheme="minorEastAsia" w:cs="Arial" w:hint="eastAsia"/>
          <w:sz w:val="32"/>
          <w:szCs w:val="32"/>
          <w:lang w:eastAsia="zh-CN"/>
        </w:rPr>
        <w:t>会计</w:t>
      </w:r>
      <w:r w:rsidRPr="00D05702">
        <w:rPr>
          <w:rFonts w:ascii="仿宋_GB2312" w:eastAsia="仿宋_GB2312" w:hAnsiTheme="minorEastAsia" w:cs="Arial" w:hint="eastAsia"/>
          <w:sz w:val="32"/>
          <w:szCs w:val="32"/>
          <w:lang w:eastAsia="zh-CN"/>
        </w:rPr>
        <w:t>确认主体，对该资产进行会计核算。</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2019年1月1日前相关部门未按照上述规定对某项固定资产进行会计核算的，在新旧会计制度转换时，按照以下规定处理：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一）该项固定资产已经在其统一管理的部门入账的，负责资产统一管理的部门应当按照该项固定资产已经计提的折旧金额（按照原制度已经计提折旧的），借记新账的“固定资产累计折旧”科目，按照该项固定资产的账面余额，贷记新账的“固定资产”科目，按其差额，借记新账的“累计盈余”科目；占有、使用该资产的部门应当按照该项固定资产在统一管理部门记录的账面余额，借记新账的“固定资产”科目，按照该项资产在统一管理部门已经计提的折旧金额（按照原制度已经计提折旧的），贷记新</w:t>
      </w:r>
      <w:r w:rsidRPr="00D05702">
        <w:rPr>
          <w:rFonts w:ascii="仿宋_GB2312" w:eastAsia="仿宋_GB2312" w:hAnsiTheme="minorEastAsia" w:cs="Arial" w:hint="eastAsia"/>
          <w:sz w:val="32"/>
          <w:szCs w:val="32"/>
          <w:lang w:eastAsia="zh-CN"/>
        </w:rPr>
        <w:lastRenderedPageBreak/>
        <w:t>账的“固定资产累计折旧”科目，按其差额，贷记新账的“累计盈余”科目。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（二）该项固定资产尚未登记入账的，应当由占有、使用该项资产的部门按照盘盈资产进行处理，具体账务处理参照财政部已经印发的相关衔接规定执行。</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在按照上述规定进行新旧制度衔接时，相关会计主体的会计处理应当协调一致，确保资产确认不重复、不遗漏。在新旧制度衔接中，如涉及资产产权变更或实物资产划拨等事项，相关会计主体应当按照资产管理有关规定办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多个部门共同占用、使用同一项固定资产，且该项固定资产由本级政府机关事务管理等部门统一管理并负责后续维护、改造的，由本级政府机关事务管理等部门作为确认主体，对该项固定资产进行会计核算。</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同一部门内部所属单位共同占有、使用同一项固定资产，或者所属事业单位占有、使用部门本级拥有产权的固定资产的，按照本部门规定对固定资产进行会计核算。</w:t>
      </w:r>
    </w:p>
    <w:p w:rsidR="003A548C" w:rsidRPr="00EF1950" w:rsidRDefault="005D727F"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五</w:t>
      </w:r>
      <w:r w:rsidR="00F94C79" w:rsidRPr="00EF1950">
        <w:rPr>
          <w:rFonts w:ascii="黑体" w:eastAsia="黑体" w:hAnsi="黑体" w:cs="Arial" w:hint="eastAsia"/>
          <w:b/>
          <w:sz w:val="32"/>
          <w:szCs w:val="32"/>
          <w:lang w:eastAsia="zh-CN"/>
        </w:rPr>
        <w:t>、关于单位无偿调入资产的账务处理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按照相关政府会计准则规定，单位（调入方）接受其他政府会计主体无偿调入的固定资产、无形资产、公共基础设施等资产，其成本按照调出方的账面价值加上相关税费确定。但是，无偿调入资产在调出方的账面价值为零（即</w:t>
      </w:r>
      <w:r w:rsidRPr="00D05702">
        <w:rPr>
          <w:rFonts w:ascii="仿宋_GB2312" w:eastAsia="仿宋_GB2312" w:hAnsiTheme="minorEastAsia" w:cs="Arial" w:hint="eastAsia"/>
          <w:sz w:val="32"/>
          <w:szCs w:val="32"/>
          <w:lang w:eastAsia="zh-CN"/>
        </w:rPr>
        <w:lastRenderedPageBreak/>
        <w:t>已经按制度规定提足折旧）或者账面余额为名义金额的，单位（调入方）应当将调入过程中其承担的相关税费计入当期费用，不计入调入资产的初始入账成本。</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无偿调入资产在调出方的账面价值为零的，单位（调入方）在进行财务会计处理时，应当按照该项资产在调出方的账面余额，借记“固定资产”“无形资产”等科目，按照该项资产在调出方已经计提的折旧或摊销金额（与资产账面余额相等），贷记“固定资产累计折旧”“无形资产累计摊销”等科目；按照支付的相关税费，借记“其他费用”科目，贷记“零余额账户用款额度”“银行存款”等科目。同时，在预算会计中按照支付的相关税费，借记“其他支出”科目，贷记“资金结存”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无偿调入资产在调出方的账面余额为名义金额的，单位（调入方）在进行财务会计处理时，应当按照名义金额，借记“固定资产”“无形资产”等科目，贷记“无偿调拨净资产”科目；按照支付的相关税费，借记“其他费用”科目，贷记“零余额账户用款额度”“银行存款”等科目。同时，在预算会计中按照支付的相关税费，借记“其他支出”科目，贷记“资金结存”科目。</w:t>
      </w:r>
    </w:p>
    <w:p w:rsidR="003A548C" w:rsidRPr="00EF1950" w:rsidRDefault="005D727F"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六</w:t>
      </w:r>
      <w:r w:rsidR="00F94C79" w:rsidRPr="00EF1950">
        <w:rPr>
          <w:rFonts w:ascii="黑体" w:eastAsia="黑体" w:hAnsi="黑体" w:cs="Arial" w:hint="eastAsia"/>
          <w:b/>
          <w:sz w:val="32"/>
          <w:szCs w:val="32"/>
          <w:lang w:eastAsia="zh-CN"/>
        </w:rPr>
        <w:t>、关于“业务活动费用”和“单位管理费用”科目的核算范围</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按照《政府会计制度》规定，“业务活动费用”科目核算单位为实现其职能目标、依法履职或开展专业业务活动及其辅助活动所发生的各项费用。“单位管理费用”科目核算事业单位本级行政及后勤管理部门开展管理活动发生的各项费用，包括单位行政及后勤管理部门发生的人员经费、公用经费、资产折旧（摊销）等费用，以及由单位统一负担的离退休人员经费、工会经费、诉讼费、中介费等。</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按照上述规定，行政单位不使用“单位管理费用”科目，其为实现其职能目标、依法履职发生的各项费用均计入“业务活动费用”科目</w:t>
      </w:r>
      <w:r w:rsidR="006E2148" w:rsidRPr="00D05702">
        <w:rPr>
          <w:rFonts w:ascii="仿宋_GB2312" w:eastAsia="仿宋_GB2312" w:hAnsiTheme="minorEastAsia" w:cs="Arial" w:hint="eastAsia"/>
          <w:sz w:val="32"/>
          <w:szCs w:val="32"/>
          <w:lang w:eastAsia="zh-CN"/>
        </w:rPr>
        <w:t>。</w:t>
      </w:r>
      <w:r w:rsidRPr="00D05702">
        <w:rPr>
          <w:rFonts w:ascii="仿宋_GB2312" w:eastAsia="仿宋_GB2312" w:hAnsiTheme="minorEastAsia" w:cs="Arial" w:hint="eastAsia"/>
          <w:sz w:val="32"/>
          <w:szCs w:val="32"/>
          <w:lang w:eastAsia="zh-CN"/>
        </w:rPr>
        <w:t>事业单位应当同时使用“业务活动费用”和“单位管理费用”科目，其</w:t>
      </w:r>
      <w:r w:rsidR="006E2148" w:rsidRPr="00D05702">
        <w:rPr>
          <w:rFonts w:ascii="仿宋_GB2312" w:eastAsia="仿宋_GB2312" w:hAnsiTheme="minorEastAsia" w:cs="Arial" w:hint="eastAsia"/>
          <w:sz w:val="32"/>
          <w:szCs w:val="32"/>
          <w:lang w:eastAsia="zh-CN"/>
        </w:rPr>
        <w:t>业务部门</w:t>
      </w:r>
      <w:r w:rsidRPr="00D05702">
        <w:rPr>
          <w:rFonts w:ascii="仿宋_GB2312" w:eastAsia="仿宋_GB2312" w:hAnsiTheme="minorEastAsia" w:cs="Arial" w:hint="eastAsia"/>
          <w:sz w:val="32"/>
          <w:szCs w:val="32"/>
          <w:lang w:eastAsia="zh-CN"/>
        </w:rPr>
        <w:t>开展专业业务活动及其辅助活动发生的各项费用计入“业务活动费用”科目，其本级行政及后勤管理部门发生的各项费用以及由单位统一负担的费用计入“单位管理费用”科目。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事业单位应当按照《政府会计制度》的规定，结合本单位实际，确定本单位业务活动费用和单位管理费用划分的具体会计政策。</w:t>
      </w:r>
    </w:p>
    <w:p w:rsidR="003A548C" w:rsidRPr="00EF1950" w:rsidRDefault="005D727F"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七</w:t>
      </w:r>
      <w:r w:rsidR="00F94C79" w:rsidRPr="00EF1950">
        <w:rPr>
          <w:rFonts w:ascii="黑体" w:eastAsia="黑体" w:hAnsi="黑体" w:cs="Arial" w:hint="eastAsia"/>
          <w:b/>
          <w:sz w:val="32"/>
          <w:szCs w:val="32"/>
          <w:lang w:eastAsia="zh-CN"/>
        </w:rPr>
        <w:t>、关于“保障性住房”科目的核算范围</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《政府会计制度》中规定的“保障性住房”科目，核算单位为满足社会公共需要而控制的保障性住房的原值。</w:t>
      </w:r>
      <w:r w:rsidRPr="00D05702">
        <w:rPr>
          <w:rFonts w:ascii="仿宋_GB2312" w:eastAsia="仿宋_GB2312" w:hAnsiTheme="minorEastAsia" w:cs="Arial" w:hint="eastAsia"/>
          <w:sz w:val="32"/>
          <w:szCs w:val="32"/>
          <w:lang w:eastAsia="zh-CN"/>
        </w:rPr>
        <w:lastRenderedPageBreak/>
        <w:t>此处的保障性住房，主要指地方政府住房保障主管部门持有全部或部分产权份额、纳入城镇住房保障规划和年度计划、向符合条件的保障对象提供的住房。</w:t>
      </w:r>
    </w:p>
    <w:p w:rsidR="003A548C" w:rsidRPr="00EF1950" w:rsidRDefault="005D727F"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八</w:t>
      </w:r>
      <w:r w:rsidR="00F94C79" w:rsidRPr="00EF1950">
        <w:rPr>
          <w:rFonts w:ascii="黑体" w:eastAsia="黑体" w:hAnsi="黑体" w:cs="Arial" w:hint="eastAsia"/>
          <w:b/>
          <w:sz w:val="32"/>
          <w:szCs w:val="32"/>
          <w:lang w:eastAsia="zh-CN"/>
        </w:rPr>
        <w:t>、关于第三方支付平台账户资金的会计科目适用问题</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单位通过支付宝、微信等方式取得相关收入的，对于尚未转入银行存款的支付宝、微信收付款等第三方支付平台账户的余额，应当通过“其他货币资金”科目核算。</w:t>
      </w:r>
    </w:p>
    <w:p w:rsidR="0016392E" w:rsidRPr="00EF1950" w:rsidRDefault="0016392E"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九、关于有关往来科目和收入、费用科目明细信息的披露</w:t>
      </w:r>
    </w:p>
    <w:p w:rsidR="0016392E" w:rsidRPr="00D05702" w:rsidRDefault="0016392E"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在按照债务人（债权人）对应收款项（应付款项）进行明细核算的基础上，应当在财务报表附注中按照债务人（债权人）分类对应收款项（应付款项）进行披露。债务人（债权人）类别主要分为本部门内部单位（指纳入单位所属部门财务报告合并范围的单位，下同）、本部门以外同级政府单位、本部门以外非同级政府单位和其他单位。</w:t>
      </w:r>
    </w:p>
    <w:p w:rsidR="0016392E" w:rsidRPr="00D05702" w:rsidRDefault="0016392E"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在按照收入来源（支付对象）对有关收入科目（费用科目）进行明细核算的基础上，应当在财务报表附注中按照收入来源（支付对象）分类对有关收入（费用）进行披露。收入来源（支付对象）主要分为本部门内部单位、</w:t>
      </w:r>
      <w:r w:rsidRPr="00D05702">
        <w:rPr>
          <w:rFonts w:ascii="仿宋_GB2312" w:eastAsia="仿宋_GB2312" w:hAnsiTheme="minorEastAsia" w:cs="Arial" w:hint="eastAsia"/>
          <w:sz w:val="32"/>
          <w:szCs w:val="32"/>
          <w:lang w:eastAsia="zh-CN"/>
        </w:rPr>
        <w:lastRenderedPageBreak/>
        <w:t>本部门以外同级政府单位、本部门以外非同级政府单位和其他单位。</w:t>
      </w:r>
    </w:p>
    <w:p w:rsidR="0016392E" w:rsidRPr="00D05702" w:rsidRDefault="0016392E"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按照《政府会计制度》中财务报表附注所列格式分类对应收款项、应付款项、有关收入和费用进行具体披露时，应当遵循重要性原则。单位对重要性的判断，应当依据《政府会计准则第9号——财务报表编制和列报》，并考虑满足编制合并财务报表的信息需要，即相关合并主体能够基于单位所披露的信息，抵销合并主体与被合并主体之间、被合并主体相互之间发生的债权债务、收入费用等内部业务或事项对财务报表的影响。</w:t>
      </w:r>
    </w:p>
    <w:p w:rsidR="005D727F" w:rsidRPr="00EF1950" w:rsidRDefault="0016392E"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十</w:t>
      </w:r>
      <w:r w:rsidR="005D727F" w:rsidRPr="00EF1950">
        <w:rPr>
          <w:rFonts w:ascii="黑体" w:eastAsia="黑体" w:hAnsi="黑体" w:cs="Arial" w:hint="eastAsia"/>
          <w:b/>
          <w:sz w:val="32"/>
          <w:szCs w:val="32"/>
          <w:lang w:eastAsia="zh-CN"/>
        </w:rPr>
        <w:t>、关于单位售房款的会计处理</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中央级行政事业单位应当自2019年1月1日起，将归属于本单位的售房款及其利息收入纳入部门预算管理，并按照《政府会计制度》统一进行会计核算。收到售房款项（售房收入扣除按标准计提的住宅专项维修资金）及其利息收入时，借记“银行存款”科目，贷记“其他收入”科目；同时在预算会计中借记“资金结存”科目，贷记“其他预算收入”科目。按规定使用售房款发放购房补贴的，计提购房补贴费用时，借记“业务活动费用”“单位管理费用”等科目，贷记“应付职工薪酬”科目的相关明细科目；发放购房补贴时，借记“应付职工薪酬”科目的相关</w:t>
      </w:r>
      <w:r w:rsidRPr="00D05702">
        <w:rPr>
          <w:rFonts w:ascii="仿宋_GB2312" w:eastAsia="仿宋_GB2312" w:hAnsiTheme="minorEastAsia" w:cs="Arial" w:hint="eastAsia"/>
          <w:sz w:val="32"/>
          <w:szCs w:val="32"/>
          <w:lang w:eastAsia="zh-CN"/>
        </w:rPr>
        <w:lastRenderedPageBreak/>
        <w:t>明细科目，贷记“银行存款”等科目，同时在预算会计中借记“行政支出”“事业支出”等科目，贷记“资金结存”科目。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新旧会计制度转换时，中央级行政单位和中央级事业单位应当分别进行如下会计处理：</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一）行政单位在原账中将售房款作为负债（其他应付款或长期应付款等）核算的，应当将有关负债科目的相关明细科目余额，转入新账财务会计中的“累计盈余”科目；同时，按照相同金额在新账预算会计中借记“资金结存”科目，贷记“非财政拨款结转”相关明细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行政单位原对售房款单独建账、单独核算（即未将售房款资金纳入“大账”核算）的，应当将售房款资金统一纳入“大账”核算，按照有关账套（或台账）核算的售房款余额，在新账财务会计中借记“银行存款”等科目，贷记“累计盈余”科目；同时，按照相同金额在新账预算会计中借记“资金结存”科目，贷记“非财政拨款结转”相关明细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（二）事业单位在原账中将售房款记入“专用基金”科目的，应当将“专用基金”科目相关明细科目的余额，转入新账财务会计中的“累计盈余”科目；同时，按照相</w:t>
      </w:r>
      <w:r w:rsidRPr="00D05702">
        <w:rPr>
          <w:rFonts w:ascii="仿宋_GB2312" w:eastAsia="仿宋_GB2312" w:hAnsiTheme="minorEastAsia" w:cs="Arial" w:hint="eastAsia"/>
          <w:sz w:val="32"/>
          <w:szCs w:val="32"/>
          <w:lang w:eastAsia="zh-CN"/>
        </w:rPr>
        <w:lastRenderedPageBreak/>
        <w:t>同金额在新账预算会计中借记“资金结存”科目，贷记“非财政拨款结转”相关明细科目。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尚未将单位售房款纳入财政统筹使用的省级及以下行政事业单位，应当比照本解释中有关中央级行政事业单位售房款的会计处理规定执行。</w:t>
      </w:r>
    </w:p>
    <w:p w:rsidR="005D727F" w:rsidRPr="00D05702" w:rsidRDefault="0016392E" w:rsidP="00F40943">
      <w:pPr>
        <w:spacing w:after="0" w:line="360" w:lineRule="auto"/>
        <w:ind w:firstLineChars="200" w:firstLine="643"/>
        <w:jc w:val="both"/>
        <w:rPr>
          <w:rFonts w:ascii="仿宋_GB2312" w:eastAsia="仿宋_GB2312" w:hAnsiTheme="minorEastAsia" w:cs="Arial"/>
          <w:b/>
          <w:sz w:val="32"/>
          <w:szCs w:val="32"/>
          <w:lang w:eastAsia="zh-CN"/>
        </w:rPr>
      </w:pPr>
      <w:r w:rsidRPr="00EF1950">
        <w:rPr>
          <w:rFonts w:ascii="黑体" w:eastAsia="黑体" w:hAnsi="黑体" w:cs="Arial" w:hint="eastAsia"/>
          <w:b/>
          <w:sz w:val="32"/>
          <w:szCs w:val="32"/>
          <w:lang w:eastAsia="zh-CN"/>
        </w:rPr>
        <w:t>十一</w:t>
      </w:r>
      <w:r w:rsidR="005D727F" w:rsidRPr="00EF1950">
        <w:rPr>
          <w:rFonts w:ascii="黑体" w:eastAsia="黑体" w:hAnsi="黑体" w:cs="Arial" w:hint="eastAsia"/>
          <w:b/>
          <w:sz w:val="32"/>
          <w:szCs w:val="32"/>
          <w:lang w:eastAsia="zh-CN"/>
        </w:rPr>
        <w:t>、关于单位集中管理的住宅专项维修资金的会计处理</w:t>
      </w:r>
    </w:p>
    <w:p w:rsidR="005D69F0"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单位对于其集中管理的</w:t>
      </w:r>
      <w:r w:rsidR="00CA20AF" w:rsidRPr="00D05702">
        <w:rPr>
          <w:rFonts w:ascii="仿宋_GB2312" w:eastAsia="仿宋_GB2312" w:hAnsiTheme="minorEastAsia" w:cs="Arial" w:hint="eastAsia"/>
          <w:sz w:val="32"/>
          <w:szCs w:val="32"/>
          <w:lang w:eastAsia="zh-CN"/>
        </w:rPr>
        <w:t>住宅专项维修资金，属于按规定</w:t>
      </w:r>
      <w:r w:rsidRPr="00D05702">
        <w:rPr>
          <w:rFonts w:ascii="仿宋_GB2312" w:eastAsia="仿宋_GB2312" w:hAnsiTheme="minorEastAsia" w:cs="Arial" w:hint="eastAsia"/>
          <w:sz w:val="32"/>
          <w:szCs w:val="32"/>
          <w:lang w:eastAsia="zh-CN"/>
        </w:rPr>
        <w:t>从本单位售房收入中提取的，应当比照本解释中有关单位售房款的规定进行会计处理</w:t>
      </w:r>
      <w:r w:rsidR="00CA20AF" w:rsidRPr="00D05702">
        <w:rPr>
          <w:rFonts w:ascii="仿宋_GB2312" w:eastAsia="仿宋_GB2312" w:hAnsiTheme="minorEastAsia" w:cs="Arial" w:hint="eastAsia"/>
          <w:sz w:val="32"/>
          <w:szCs w:val="32"/>
          <w:lang w:eastAsia="zh-CN"/>
        </w:rPr>
        <w:t>；属于</w:t>
      </w:r>
      <w:r w:rsidRPr="00D05702">
        <w:rPr>
          <w:rFonts w:ascii="仿宋_GB2312" w:eastAsia="仿宋_GB2312" w:hAnsiTheme="minorEastAsia" w:cs="Arial" w:hint="eastAsia"/>
          <w:sz w:val="32"/>
          <w:szCs w:val="32"/>
          <w:lang w:eastAsia="zh-CN"/>
        </w:rPr>
        <w:t>本单位职工个人缴存的，应当作为受托代理业务，按照《政府会计制度》的规定进行会计处理。</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专门从事住宅专项维修资金管理的单位所管理的住宅专项维修资金的会计核算，由财政部另行规定。</w:t>
      </w:r>
    </w:p>
    <w:p w:rsidR="003A548C" w:rsidRPr="00EF1950" w:rsidRDefault="00F94C79" w:rsidP="00F40943">
      <w:pPr>
        <w:spacing w:after="0" w:line="360" w:lineRule="auto"/>
        <w:ind w:firstLineChars="200" w:firstLine="643"/>
        <w:jc w:val="both"/>
        <w:rPr>
          <w:rFonts w:ascii="黑体" w:eastAsia="黑体" w:hAnsi="黑体" w:cs="Arial"/>
          <w:b/>
          <w:sz w:val="32"/>
          <w:szCs w:val="32"/>
          <w:lang w:eastAsia="zh-CN"/>
        </w:rPr>
      </w:pPr>
      <w:r w:rsidRPr="00EF1950">
        <w:rPr>
          <w:rFonts w:ascii="黑体" w:eastAsia="黑体" w:hAnsi="黑体" w:cs="Arial" w:hint="eastAsia"/>
          <w:b/>
          <w:sz w:val="32"/>
          <w:szCs w:val="32"/>
          <w:lang w:eastAsia="zh-CN"/>
        </w:rPr>
        <w:t>十二、本解释自2019年1月1日起施行。</w:t>
      </w:r>
    </w:p>
    <w:p w:rsidR="003A548C" w:rsidRPr="00D05702" w:rsidRDefault="003A548C" w:rsidP="00F40943">
      <w:pPr>
        <w:spacing w:after="0" w:line="360" w:lineRule="auto"/>
        <w:ind w:firstLineChars="200" w:firstLine="640"/>
        <w:jc w:val="both"/>
        <w:rPr>
          <w:rFonts w:ascii="仿宋_GB2312" w:eastAsia="仿宋_GB2312" w:hAnsiTheme="minorEastAsia" w:cs="Arial"/>
          <w:sz w:val="32"/>
          <w:szCs w:val="32"/>
          <w:lang w:eastAsia="zh-CN"/>
        </w:rPr>
      </w:pPr>
    </w:p>
    <w:sectPr w:rsidR="003A548C" w:rsidRPr="00D05702" w:rsidSect="008E6FB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D9" w:rsidRDefault="001E0FD9" w:rsidP="003A548C">
      <w:pPr>
        <w:spacing w:after="0" w:line="240" w:lineRule="auto"/>
      </w:pPr>
      <w:r>
        <w:separator/>
      </w:r>
    </w:p>
  </w:endnote>
  <w:endnote w:type="continuationSeparator" w:id="0">
    <w:p w:rsidR="001E0FD9" w:rsidRDefault="001E0FD9" w:rsidP="003A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ˎ̥">
    <w:altName w:val="仿宋"/>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609244"/>
    </w:sdtPr>
    <w:sdtEndPr/>
    <w:sdtContent>
      <w:p w:rsidR="003A548C" w:rsidRDefault="00C76C2F">
        <w:pPr>
          <w:pStyle w:val="aa"/>
          <w:jc w:val="center"/>
        </w:pPr>
        <w:r>
          <w:fldChar w:fldCharType="begin"/>
        </w:r>
        <w:r w:rsidR="00F94C79">
          <w:instrText xml:space="preserve"> PAGE   \* MERGEFORMAT </w:instrText>
        </w:r>
        <w:r>
          <w:fldChar w:fldCharType="separate"/>
        </w:r>
        <w:r w:rsidR="008571E9" w:rsidRPr="008571E9">
          <w:rPr>
            <w:noProof/>
            <w:lang w:val="zh-CN"/>
          </w:rPr>
          <w:t>2</w:t>
        </w:r>
        <w:r>
          <w:rPr>
            <w:lang w:val="zh-CN"/>
          </w:rPr>
          <w:fldChar w:fldCharType="end"/>
        </w:r>
      </w:p>
    </w:sdtContent>
  </w:sdt>
  <w:p w:rsidR="003A548C" w:rsidRDefault="003A54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D9" w:rsidRDefault="001E0FD9" w:rsidP="003A548C">
      <w:pPr>
        <w:spacing w:after="0" w:line="240" w:lineRule="auto"/>
      </w:pPr>
      <w:r>
        <w:separator/>
      </w:r>
    </w:p>
  </w:footnote>
  <w:footnote w:type="continuationSeparator" w:id="0">
    <w:p w:rsidR="001E0FD9" w:rsidRDefault="001E0FD9" w:rsidP="003A5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C05A6"/>
    <w:rsid w:val="97B76389"/>
    <w:rsid w:val="9FD1597D"/>
    <w:rsid w:val="AFBD1009"/>
    <w:rsid w:val="B7DF3F0B"/>
    <w:rsid w:val="BF661B6E"/>
    <w:rsid w:val="BFD5B6FD"/>
    <w:rsid w:val="CF7F64AD"/>
    <w:rsid w:val="D5FF66A3"/>
    <w:rsid w:val="DA6FB1F6"/>
    <w:rsid w:val="DBDBB4F8"/>
    <w:rsid w:val="DBFBFAEC"/>
    <w:rsid w:val="DDF38AB9"/>
    <w:rsid w:val="EF3F95F3"/>
    <w:rsid w:val="F7FFB751"/>
    <w:rsid w:val="F99F1573"/>
    <w:rsid w:val="F9EFB284"/>
    <w:rsid w:val="FABB9377"/>
    <w:rsid w:val="FAEDEA13"/>
    <w:rsid w:val="FBEF5DB3"/>
    <w:rsid w:val="FD779173"/>
    <w:rsid w:val="FDAF5161"/>
    <w:rsid w:val="FDFE9D46"/>
    <w:rsid w:val="FECECC08"/>
    <w:rsid w:val="FFBE738D"/>
    <w:rsid w:val="FFDB3EA7"/>
    <w:rsid w:val="FFFF524E"/>
    <w:rsid w:val="000011AA"/>
    <w:rsid w:val="00007F61"/>
    <w:rsid w:val="00012CA1"/>
    <w:rsid w:val="00014A33"/>
    <w:rsid w:val="00023341"/>
    <w:rsid w:val="00030FD2"/>
    <w:rsid w:val="000416B0"/>
    <w:rsid w:val="00052DBD"/>
    <w:rsid w:val="0005372D"/>
    <w:rsid w:val="00053A4B"/>
    <w:rsid w:val="00054B1F"/>
    <w:rsid w:val="00082046"/>
    <w:rsid w:val="00096561"/>
    <w:rsid w:val="00096BA9"/>
    <w:rsid w:val="00097879"/>
    <w:rsid w:val="00097A0A"/>
    <w:rsid w:val="000B098E"/>
    <w:rsid w:val="000B25FA"/>
    <w:rsid w:val="000B5CAB"/>
    <w:rsid w:val="000C05A6"/>
    <w:rsid w:val="000C21C2"/>
    <w:rsid w:val="000C2CE3"/>
    <w:rsid w:val="000C4E55"/>
    <w:rsid w:val="000D234A"/>
    <w:rsid w:val="000D441F"/>
    <w:rsid w:val="000D511A"/>
    <w:rsid w:val="000F2696"/>
    <w:rsid w:val="000F5821"/>
    <w:rsid w:val="000F72D4"/>
    <w:rsid w:val="001008F7"/>
    <w:rsid w:val="00102553"/>
    <w:rsid w:val="00102F77"/>
    <w:rsid w:val="00114B8D"/>
    <w:rsid w:val="00115171"/>
    <w:rsid w:val="00124A0C"/>
    <w:rsid w:val="001303B9"/>
    <w:rsid w:val="001348D1"/>
    <w:rsid w:val="00144360"/>
    <w:rsid w:val="001469E5"/>
    <w:rsid w:val="001566B5"/>
    <w:rsid w:val="0016392E"/>
    <w:rsid w:val="00166852"/>
    <w:rsid w:val="0016768A"/>
    <w:rsid w:val="00183554"/>
    <w:rsid w:val="00185567"/>
    <w:rsid w:val="0019353D"/>
    <w:rsid w:val="001973C6"/>
    <w:rsid w:val="001A0E04"/>
    <w:rsid w:val="001A4349"/>
    <w:rsid w:val="001A520A"/>
    <w:rsid w:val="001A5575"/>
    <w:rsid w:val="001B1829"/>
    <w:rsid w:val="001C424E"/>
    <w:rsid w:val="001D171F"/>
    <w:rsid w:val="001D3F36"/>
    <w:rsid w:val="001D48A3"/>
    <w:rsid w:val="001E0FD9"/>
    <w:rsid w:val="001E1F2B"/>
    <w:rsid w:val="001E4AC7"/>
    <w:rsid w:val="001F1C0D"/>
    <w:rsid w:val="001F3CC9"/>
    <w:rsid w:val="001F4E26"/>
    <w:rsid w:val="0021401C"/>
    <w:rsid w:val="0021577D"/>
    <w:rsid w:val="002572CD"/>
    <w:rsid w:val="0026516C"/>
    <w:rsid w:val="00272614"/>
    <w:rsid w:val="00285D78"/>
    <w:rsid w:val="002A20E8"/>
    <w:rsid w:val="002C4AA6"/>
    <w:rsid w:val="002C5F31"/>
    <w:rsid w:val="002E2463"/>
    <w:rsid w:val="002F257A"/>
    <w:rsid w:val="002F49D1"/>
    <w:rsid w:val="0030393C"/>
    <w:rsid w:val="00310B2E"/>
    <w:rsid w:val="00311220"/>
    <w:rsid w:val="00311B62"/>
    <w:rsid w:val="00316B5F"/>
    <w:rsid w:val="00316CBF"/>
    <w:rsid w:val="003236E6"/>
    <w:rsid w:val="00335BA8"/>
    <w:rsid w:val="00336BC3"/>
    <w:rsid w:val="00360486"/>
    <w:rsid w:val="00363788"/>
    <w:rsid w:val="00365550"/>
    <w:rsid w:val="00371018"/>
    <w:rsid w:val="00373957"/>
    <w:rsid w:val="00375497"/>
    <w:rsid w:val="0038690A"/>
    <w:rsid w:val="00386B62"/>
    <w:rsid w:val="00394422"/>
    <w:rsid w:val="003A46E2"/>
    <w:rsid w:val="003A548C"/>
    <w:rsid w:val="003B32CF"/>
    <w:rsid w:val="003C2CF8"/>
    <w:rsid w:val="003C4470"/>
    <w:rsid w:val="003C528A"/>
    <w:rsid w:val="003D7FF5"/>
    <w:rsid w:val="003E09C6"/>
    <w:rsid w:val="003E39AE"/>
    <w:rsid w:val="003E47AB"/>
    <w:rsid w:val="003F4A29"/>
    <w:rsid w:val="004049EA"/>
    <w:rsid w:val="004059EB"/>
    <w:rsid w:val="00412C6C"/>
    <w:rsid w:val="00414E4D"/>
    <w:rsid w:val="00423196"/>
    <w:rsid w:val="0043359A"/>
    <w:rsid w:val="004369EF"/>
    <w:rsid w:val="00436BB9"/>
    <w:rsid w:val="004405CC"/>
    <w:rsid w:val="004441B3"/>
    <w:rsid w:val="00446D94"/>
    <w:rsid w:val="00451D12"/>
    <w:rsid w:val="00452372"/>
    <w:rsid w:val="00453078"/>
    <w:rsid w:val="00455B7B"/>
    <w:rsid w:val="0045664C"/>
    <w:rsid w:val="004715D9"/>
    <w:rsid w:val="00483C6B"/>
    <w:rsid w:val="00485968"/>
    <w:rsid w:val="00494AE0"/>
    <w:rsid w:val="004A14E0"/>
    <w:rsid w:val="004A2966"/>
    <w:rsid w:val="004C24E5"/>
    <w:rsid w:val="004C35B5"/>
    <w:rsid w:val="004C43EB"/>
    <w:rsid w:val="004C5C33"/>
    <w:rsid w:val="004D365D"/>
    <w:rsid w:val="004D77F3"/>
    <w:rsid w:val="004E307D"/>
    <w:rsid w:val="004E7E4D"/>
    <w:rsid w:val="004F36B7"/>
    <w:rsid w:val="004F54FC"/>
    <w:rsid w:val="004F6FCC"/>
    <w:rsid w:val="005214B9"/>
    <w:rsid w:val="00534DE7"/>
    <w:rsid w:val="00540E7B"/>
    <w:rsid w:val="00552023"/>
    <w:rsid w:val="00561DAC"/>
    <w:rsid w:val="00580741"/>
    <w:rsid w:val="00581770"/>
    <w:rsid w:val="005A3D4B"/>
    <w:rsid w:val="005A617C"/>
    <w:rsid w:val="005B466C"/>
    <w:rsid w:val="005C55C9"/>
    <w:rsid w:val="005D69F0"/>
    <w:rsid w:val="005D727F"/>
    <w:rsid w:val="005D7BD5"/>
    <w:rsid w:val="005F7E47"/>
    <w:rsid w:val="00600C77"/>
    <w:rsid w:val="00607CD6"/>
    <w:rsid w:val="00616049"/>
    <w:rsid w:val="00631E9B"/>
    <w:rsid w:val="0065097A"/>
    <w:rsid w:val="00670D81"/>
    <w:rsid w:val="006778B7"/>
    <w:rsid w:val="00682910"/>
    <w:rsid w:val="00684EC3"/>
    <w:rsid w:val="006B408C"/>
    <w:rsid w:val="006C53C8"/>
    <w:rsid w:val="006C5643"/>
    <w:rsid w:val="006E1083"/>
    <w:rsid w:val="006E2148"/>
    <w:rsid w:val="006F695E"/>
    <w:rsid w:val="006F6F68"/>
    <w:rsid w:val="00711A77"/>
    <w:rsid w:val="00716DA4"/>
    <w:rsid w:val="00720131"/>
    <w:rsid w:val="00737BEF"/>
    <w:rsid w:val="00747E75"/>
    <w:rsid w:val="00751D12"/>
    <w:rsid w:val="00753A03"/>
    <w:rsid w:val="00753C8D"/>
    <w:rsid w:val="0075504D"/>
    <w:rsid w:val="007573BD"/>
    <w:rsid w:val="0076185F"/>
    <w:rsid w:val="00766749"/>
    <w:rsid w:val="00771F94"/>
    <w:rsid w:val="00792A6F"/>
    <w:rsid w:val="0079793D"/>
    <w:rsid w:val="007A387B"/>
    <w:rsid w:val="007A3F27"/>
    <w:rsid w:val="007B3F6D"/>
    <w:rsid w:val="007B62D8"/>
    <w:rsid w:val="007C53CF"/>
    <w:rsid w:val="007D5259"/>
    <w:rsid w:val="007E3523"/>
    <w:rsid w:val="007E5AF7"/>
    <w:rsid w:val="007E742A"/>
    <w:rsid w:val="007F5B18"/>
    <w:rsid w:val="007F74B3"/>
    <w:rsid w:val="00802D0B"/>
    <w:rsid w:val="00803953"/>
    <w:rsid w:val="00812091"/>
    <w:rsid w:val="00815ADA"/>
    <w:rsid w:val="00830926"/>
    <w:rsid w:val="00837B5E"/>
    <w:rsid w:val="00846DC7"/>
    <w:rsid w:val="0085285B"/>
    <w:rsid w:val="0085306E"/>
    <w:rsid w:val="008571E9"/>
    <w:rsid w:val="00862BA8"/>
    <w:rsid w:val="00866D16"/>
    <w:rsid w:val="008744FD"/>
    <w:rsid w:val="00876C13"/>
    <w:rsid w:val="008772E8"/>
    <w:rsid w:val="008826FA"/>
    <w:rsid w:val="00883DB0"/>
    <w:rsid w:val="008943CA"/>
    <w:rsid w:val="008A7D8D"/>
    <w:rsid w:val="008C195E"/>
    <w:rsid w:val="008C5519"/>
    <w:rsid w:val="008C6EC6"/>
    <w:rsid w:val="008D2351"/>
    <w:rsid w:val="008D36CC"/>
    <w:rsid w:val="008E251D"/>
    <w:rsid w:val="008E2B8E"/>
    <w:rsid w:val="008E5491"/>
    <w:rsid w:val="008E6FB8"/>
    <w:rsid w:val="00900800"/>
    <w:rsid w:val="0090306F"/>
    <w:rsid w:val="009057AA"/>
    <w:rsid w:val="00913709"/>
    <w:rsid w:val="00931EF5"/>
    <w:rsid w:val="0093298B"/>
    <w:rsid w:val="00945CB6"/>
    <w:rsid w:val="0094612F"/>
    <w:rsid w:val="00967A36"/>
    <w:rsid w:val="009739CE"/>
    <w:rsid w:val="0098714D"/>
    <w:rsid w:val="00993B59"/>
    <w:rsid w:val="009A0D5E"/>
    <w:rsid w:val="009A4B62"/>
    <w:rsid w:val="009A4E92"/>
    <w:rsid w:val="009A5F2C"/>
    <w:rsid w:val="009B4E02"/>
    <w:rsid w:val="009B5EBC"/>
    <w:rsid w:val="009D5435"/>
    <w:rsid w:val="009E0973"/>
    <w:rsid w:val="009E351D"/>
    <w:rsid w:val="009E7B80"/>
    <w:rsid w:val="009F3996"/>
    <w:rsid w:val="00A010C3"/>
    <w:rsid w:val="00A04515"/>
    <w:rsid w:val="00A1141B"/>
    <w:rsid w:val="00A26AF4"/>
    <w:rsid w:val="00A402A0"/>
    <w:rsid w:val="00A4162D"/>
    <w:rsid w:val="00A4664F"/>
    <w:rsid w:val="00A46C0D"/>
    <w:rsid w:val="00A5355D"/>
    <w:rsid w:val="00A535CD"/>
    <w:rsid w:val="00A54E73"/>
    <w:rsid w:val="00A567DC"/>
    <w:rsid w:val="00A75302"/>
    <w:rsid w:val="00A7577A"/>
    <w:rsid w:val="00A92BFB"/>
    <w:rsid w:val="00A9474C"/>
    <w:rsid w:val="00A95E25"/>
    <w:rsid w:val="00AB15B7"/>
    <w:rsid w:val="00AB44A8"/>
    <w:rsid w:val="00AC56F8"/>
    <w:rsid w:val="00AC7D22"/>
    <w:rsid w:val="00AD1C8B"/>
    <w:rsid w:val="00AD3E18"/>
    <w:rsid w:val="00AE281C"/>
    <w:rsid w:val="00AE62A0"/>
    <w:rsid w:val="00AE76FA"/>
    <w:rsid w:val="00AF4DA2"/>
    <w:rsid w:val="00AF592C"/>
    <w:rsid w:val="00B2695E"/>
    <w:rsid w:val="00B2741A"/>
    <w:rsid w:val="00B37C86"/>
    <w:rsid w:val="00B5289C"/>
    <w:rsid w:val="00B5660D"/>
    <w:rsid w:val="00B63965"/>
    <w:rsid w:val="00B643FF"/>
    <w:rsid w:val="00B91FED"/>
    <w:rsid w:val="00BA01BA"/>
    <w:rsid w:val="00BA2C67"/>
    <w:rsid w:val="00BC160B"/>
    <w:rsid w:val="00BC604D"/>
    <w:rsid w:val="00BD3316"/>
    <w:rsid w:val="00BF3051"/>
    <w:rsid w:val="00C06A4D"/>
    <w:rsid w:val="00C10C88"/>
    <w:rsid w:val="00C3237A"/>
    <w:rsid w:val="00C660ED"/>
    <w:rsid w:val="00C73C7E"/>
    <w:rsid w:val="00C75F38"/>
    <w:rsid w:val="00C76C2F"/>
    <w:rsid w:val="00C77665"/>
    <w:rsid w:val="00C84E18"/>
    <w:rsid w:val="00C876F7"/>
    <w:rsid w:val="00C9549B"/>
    <w:rsid w:val="00CA20AF"/>
    <w:rsid w:val="00CA687B"/>
    <w:rsid w:val="00CA7416"/>
    <w:rsid w:val="00CB1311"/>
    <w:rsid w:val="00CC08C7"/>
    <w:rsid w:val="00CC10FA"/>
    <w:rsid w:val="00CC1C3D"/>
    <w:rsid w:val="00CC2882"/>
    <w:rsid w:val="00CC75A7"/>
    <w:rsid w:val="00CD2C82"/>
    <w:rsid w:val="00CE2812"/>
    <w:rsid w:val="00CE33CC"/>
    <w:rsid w:val="00CE46B2"/>
    <w:rsid w:val="00D05702"/>
    <w:rsid w:val="00D105A3"/>
    <w:rsid w:val="00D107E7"/>
    <w:rsid w:val="00D31190"/>
    <w:rsid w:val="00D3128F"/>
    <w:rsid w:val="00D319BD"/>
    <w:rsid w:val="00D372BE"/>
    <w:rsid w:val="00D43F4F"/>
    <w:rsid w:val="00D53167"/>
    <w:rsid w:val="00D56211"/>
    <w:rsid w:val="00D86C22"/>
    <w:rsid w:val="00DA2D0C"/>
    <w:rsid w:val="00DA3AEF"/>
    <w:rsid w:val="00DB154B"/>
    <w:rsid w:val="00DB2C6F"/>
    <w:rsid w:val="00DB7680"/>
    <w:rsid w:val="00DC5A03"/>
    <w:rsid w:val="00DF71D9"/>
    <w:rsid w:val="00E01B3F"/>
    <w:rsid w:val="00E079D2"/>
    <w:rsid w:val="00E12F22"/>
    <w:rsid w:val="00E138C3"/>
    <w:rsid w:val="00E20B49"/>
    <w:rsid w:val="00E32996"/>
    <w:rsid w:val="00E359F5"/>
    <w:rsid w:val="00E422EF"/>
    <w:rsid w:val="00E50C15"/>
    <w:rsid w:val="00E66792"/>
    <w:rsid w:val="00E8228D"/>
    <w:rsid w:val="00E8367D"/>
    <w:rsid w:val="00E83B04"/>
    <w:rsid w:val="00E94C93"/>
    <w:rsid w:val="00E95837"/>
    <w:rsid w:val="00EA1620"/>
    <w:rsid w:val="00EA2E59"/>
    <w:rsid w:val="00EA5379"/>
    <w:rsid w:val="00EC00ED"/>
    <w:rsid w:val="00EC3A17"/>
    <w:rsid w:val="00EC4DF0"/>
    <w:rsid w:val="00ED2C64"/>
    <w:rsid w:val="00EE1F15"/>
    <w:rsid w:val="00EF1950"/>
    <w:rsid w:val="00EF2389"/>
    <w:rsid w:val="00EF27BF"/>
    <w:rsid w:val="00F01405"/>
    <w:rsid w:val="00F07987"/>
    <w:rsid w:val="00F1011D"/>
    <w:rsid w:val="00F128B3"/>
    <w:rsid w:val="00F214E2"/>
    <w:rsid w:val="00F214F0"/>
    <w:rsid w:val="00F2664F"/>
    <w:rsid w:val="00F26929"/>
    <w:rsid w:val="00F27FEE"/>
    <w:rsid w:val="00F3066D"/>
    <w:rsid w:val="00F30A60"/>
    <w:rsid w:val="00F36BE4"/>
    <w:rsid w:val="00F40943"/>
    <w:rsid w:val="00F4345A"/>
    <w:rsid w:val="00F57046"/>
    <w:rsid w:val="00F626DC"/>
    <w:rsid w:val="00F744A9"/>
    <w:rsid w:val="00F775B1"/>
    <w:rsid w:val="00F80CEC"/>
    <w:rsid w:val="00F82C50"/>
    <w:rsid w:val="00F83F1D"/>
    <w:rsid w:val="00F9435D"/>
    <w:rsid w:val="00F94C79"/>
    <w:rsid w:val="00FA4A9F"/>
    <w:rsid w:val="00FB3D9E"/>
    <w:rsid w:val="00FB641F"/>
    <w:rsid w:val="00FD002D"/>
    <w:rsid w:val="00FD07D9"/>
    <w:rsid w:val="00FD09C2"/>
    <w:rsid w:val="00FD500B"/>
    <w:rsid w:val="00FD5DCA"/>
    <w:rsid w:val="00FD6E90"/>
    <w:rsid w:val="00FD7F68"/>
    <w:rsid w:val="00FE0424"/>
    <w:rsid w:val="00FE6BF1"/>
    <w:rsid w:val="00FF1C96"/>
    <w:rsid w:val="00FF7C86"/>
    <w:rsid w:val="23EF8515"/>
    <w:rsid w:val="319F1A47"/>
    <w:rsid w:val="3B8F7DC1"/>
    <w:rsid w:val="3FBC09D7"/>
    <w:rsid w:val="3FFD7594"/>
    <w:rsid w:val="4AD55C48"/>
    <w:rsid w:val="52965EA4"/>
    <w:rsid w:val="5BCCD491"/>
    <w:rsid w:val="5DFB030A"/>
    <w:rsid w:val="5FFF9E3A"/>
    <w:rsid w:val="6B78BDE9"/>
    <w:rsid w:val="6BEDE2EB"/>
    <w:rsid w:val="792FA18E"/>
    <w:rsid w:val="7E79D8BF"/>
    <w:rsid w:val="7ED7E43B"/>
    <w:rsid w:val="7EDF892B"/>
    <w:rsid w:val="7EFC2C6E"/>
    <w:rsid w:val="7F6BD123"/>
    <w:rsid w:val="7FEF11AF"/>
    <w:rsid w:val="7FFDA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3B0CB"/>
  <w15:docId w15:val="{DC06FC27-A17E-417C-8DB3-8F00FDC4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48C"/>
    <w:pPr>
      <w:spacing w:after="200" w:line="276" w:lineRule="auto"/>
    </w:pPr>
    <w:rPr>
      <w:rFonts w:asciiTheme="minorHAnsi" w:eastAsiaTheme="minorEastAsia" w:hAnsiTheme="minorHAnsi" w:cstheme="minorBidi"/>
      <w:sz w:val="22"/>
      <w:szCs w:val="22"/>
      <w:lang w:eastAsia="en-US" w:bidi="en-US"/>
    </w:rPr>
  </w:style>
  <w:style w:type="paragraph" w:styleId="1">
    <w:name w:val="heading 1"/>
    <w:basedOn w:val="a"/>
    <w:next w:val="a"/>
    <w:link w:val="10"/>
    <w:uiPriority w:val="9"/>
    <w:qFormat/>
    <w:rsid w:val="003A5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A5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54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A54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A54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A54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A54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A548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A54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3A548C"/>
    <w:rPr>
      <w:b/>
      <w:bCs/>
    </w:rPr>
  </w:style>
  <w:style w:type="paragraph" w:styleId="a4">
    <w:name w:val="annotation text"/>
    <w:basedOn w:val="a"/>
    <w:link w:val="a6"/>
    <w:uiPriority w:val="99"/>
    <w:semiHidden/>
    <w:unhideWhenUsed/>
    <w:qFormat/>
    <w:rsid w:val="003A548C"/>
  </w:style>
  <w:style w:type="paragraph" w:styleId="a7">
    <w:name w:val="caption"/>
    <w:basedOn w:val="a"/>
    <w:next w:val="a"/>
    <w:uiPriority w:val="35"/>
    <w:semiHidden/>
    <w:unhideWhenUsed/>
    <w:qFormat/>
    <w:rsid w:val="003A548C"/>
    <w:pPr>
      <w:spacing w:line="240" w:lineRule="auto"/>
    </w:pPr>
    <w:rPr>
      <w:b/>
      <w:bCs/>
      <w:color w:val="4F81BD" w:themeColor="accent1"/>
      <w:sz w:val="18"/>
      <w:szCs w:val="18"/>
    </w:rPr>
  </w:style>
  <w:style w:type="paragraph" w:styleId="a8">
    <w:name w:val="Balloon Text"/>
    <w:basedOn w:val="a"/>
    <w:link w:val="a9"/>
    <w:uiPriority w:val="99"/>
    <w:semiHidden/>
    <w:unhideWhenUsed/>
    <w:qFormat/>
    <w:rsid w:val="003A548C"/>
    <w:pPr>
      <w:spacing w:after="0" w:line="240" w:lineRule="auto"/>
    </w:pPr>
    <w:rPr>
      <w:sz w:val="18"/>
      <w:szCs w:val="18"/>
    </w:rPr>
  </w:style>
  <w:style w:type="paragraph" w:styleId="aa">
    <w:name w:val="footer"/>
    <w:basedOn w:val="a"/>
    <w:link w:val="ab"/>
    <w:uiPriority w:val="99"/>
    <w:unhideWhenUsed/>
    <w:qFormat/>
    <w:rsid w:val="003A548C"/>
    <w:pPr>
      <w:tabs>
        <w:tab w:val="center" w:pos="4153"/>
        <w:tab w:val="right" w:pos="8306"/>
      </w:tabs>
      <w:snapToGrid w:val="0"/>
      <w:spacing w:line="240" w:lineRule="auto"/>
    </w:pPr>
    <w:rPr>
      <w:sz w:val="18"/>
      <w:szCs w:val="18"/>
    </w:rPr>
  </w:style>
  <w:style w:type="paragraph" w:styleId="ac">
    <w:name w:val="header"/>
    <w:basedOn w:val="a"/>
    <w:link w:val="ad"/>
    <w:uiPriority w:val="99"/>
    <w:semiHidden/>
    <w:unhideWhenUsed/>
    <w:qFormat/>
    <w:rsid w:val="003A548C"/>
    <w:pPr>
      <w:pBdr>
        <w:bottom w:val="single" w:sz="6" w:space="1" w:color="auto"/>
      </w:pBdr>
      <w:tabs>
        <w:tab w:val="center" w:pos="4153"/>
        <w:tab w:val="right" w:pos="8306"/>
      </w:tabs>
      <w:snapToGrid w:val="0"/>
      <w:spacing w:line="240" w:lineRule="auto"/>
      <w:jc w:val="center"/>
    </w:pPr>
    <w:rPr>
      <w:sz w:val="18"/>
      <w:szCs w:val="18"/>
    </w:rPr>
  </w:style>
  <w:style w:type="paragraph" w:styleId="ae">
    <w:name w:val="Subtitle"/>
    <w:basedOn w:val="a"/>
    <w:next w:val="a"/>
    <w:link w:val="af"/>
    <w:uiPriority w:val="11"/>
    <w:qFormat/>
    <w:rsid w:val="003A548C"/>
    <w:rPr>
      <w:rFonts w:asciiTheme="majorHAnsi" w:eastAsiaTheme="majorEastAsia" w:hAnsiTheme="majorHAnsi" w:cstheme="majorBidi"/>
      <w:i/>
      <w:iCs/>
      <w:color w:val="4F81BD" w:themeColor="accent1"/>
      <w:spacing w:val="15"/>
      <w:sz w:val="24"/>
      <w:szCs w:val="24"/>
    </w:rPr>
  </w:style>
  <w:style w:type="paragraph" w:styleId="af0">
    <w:name w:val="footnote text"/>
    <w:basedOn w:val="a"/>
    <w:uiPriority w:val="99"/>
    <w:semiHidden/>
    <w:unhideWhenUsed/>
    <w:qFormat/>
    <w:rsid w:val="003A548C"/>
    <w:pPr>
      <w:snapToGrid w:val="0"/>
    </w:pPr>
    <w:rPr>
      <w:sz w:val="18"/>
    </w:rPr>
  </w:style>
  <w:style w:type="paragraph" w:styleId="af1">
    <w:name w:val="Normal (Web)"/>
    <w:basedOn w:val="a"/>
    <w:uiPriority w:val="99"/>
    <w:qFormat/>
    <w:rsid w:val="003A548C"/>
    <w:pPr>
      <w:spacing w:before="100" w:beforeAutospacing="1" w:after="100" w:afterAutospacing="1" w:line="240" w:lineRule="auto"/>
    </w:pPr>
    <w:rPr>
      <w:rFonts w:ascii="宋体" w:hAnsi="宋体" w:cs="宋体"/>
    </w:rPr>
  </w:style>
  <w:style w:type="paragraph" w:styleId="af2">
    <w:name w:val="Title"/>
    <w:basedOn w:val="a"/>
    <w:next w:val="a"/>
    <w:link w:val="af3"/>
    <w:uiPriority w:val="10"/>
    <w:qFormat/>
    <w:rsid w:val="003A5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af4">
    <w:name w:val="Strong"/>
    <w:basedOn w:val="a0"/>
    <w:uiPriority w:val="22"/>
    <w:qFormat/>
    <w:rsid w:val="003A548C"/>
    <w:rPr>
      <w:b/>
      <w:bCs/>
    </w:rPr>
  </w:style>
  <w:style w:type="character" w:styleId="af5">
    <w:name w:val="Emphasis"/>
    <w:basedOn w:val="a0"/>
    <w:uiPriority w:val="20"/>
    <w:qFormat/>
    <w:rsid w:val="003A548C"/>
    <w:rPr>
      <w:i/>
      <w:iCs/>
    </w:rPr>
  </w:style>
  <w:style w:type="character" w:styleId="af6">
    <w:name w:val="annotation reference"/>
    <w:basedOn w:val="a0"/>
    <w:uiPriority w:val="99"/>
    <w:semiHidden/>
    <w:unhideWhenUsed/>
    <w:qFormat/>
    <w:rsid w:val="003A548C"/>
    <w:rPr>
      <w:sz w:val="21"/>
      <w:szCs w:val="21"/>
    </w:rPr>
  </w:style>
  <w:style w:type="character" w:styleId="af7">
    <w:name w:val="footnote reference"/>
    <w:basedOn w:val="a0"/>
    <w:uiPriority w:val="99"/>
    <w:semiHidden/>
    <w:unhideWhenUsed/>
    <w:qFormat/>
    <w:rsid w:val="003A548C"/>
    <w:rPr>
      <w:vertAlign w:val="superscript"/>
    </w:rPr>
  </w:style>
  <w:style w:type="table" w:styleId="af8">
    <w:name w:val="Table Grid"/>
    <w:basedOn w:val="a1"/>
    <w:uiPriority w:val="59"/>
    <w:qFormat/>
    <w:rsid w:val="003A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3A548C"/>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semiHidden/>
    <w:qFormat/>
    <w:rsid w:val="003A548C"/>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qFormat/>
    <w:rsid w:val="003A548C"/>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qFormat/>
    <w:rsid w:val="003A548C"/>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qFormat/>
    <w:rsid w:val="003A548C"/>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qFormat/>
    <w:rsid w:val="003A548C"/>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qFormat/>
    <w:rsid w:val="003A548C"/>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qFormat/>
    <w:rsid w:val="003A548C"/>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qFormat/>
    <w:rsid w:val="003A548C"/>
    <w:rPr>
      <w:rFonts w:asciiTheme="majorHAnsi" w:eastAsiaTheme="majorEastAsia" w:hAnsiTheme="majorHAnsi" w:cstheme="majorBidi"/>
      <w:i/>
      <w:iCs/>
      <w:color w:val="404040" w:themeColor="text1" w:themeTint="BF"/>
      <w:sz w:val="20"/>
      <w:szCs w:val="20"/>
    </w:rPr>
  </w:style>
  <w:style w:type="character" w:customStyle="1" w:styleId="af3">
    <w:name w:val="标题 字符"/>
    <w:basedOn w:val="a0"/>
    <w:link w:val="af2"/>
    <w:uiPriority w:val="10"/>
    <w:qFormat/>
    <w:rsid w:val="003A548C"/>
    <w:rPr>
      <w:rFonts w:asciiTheme="majorHAnsi" w:eastAsiaTheme="majorEastAsia" w:hAnsiTheme="majorHAnsi" w:cstheme="majorBidi"/>
      <w:color w:val="17365D" w:themeColor="text2" w:themeShade="BF"/>
      <w:spacing w:val="5"/>
      <w:kern w:val="28"/>
      <w:sz w:val="52"/>
      <w:szCs w:val="52"/>
    </w:rPr>
  </w:style>
  <w:style w:type="character" w:customStyle="1" w:styleId="af">
    <w:name w:val="副标题 字符"/>
    <w:basedOn w:val="a0"/>
    <w:link w:val="ae"/>
    <w:uiPriority w:val="11"/>
    <w:qFormat/>
    <w:rsid w:val="003A548C"/>
    <w:rPr>
      <w:rFonts w:asciiTheme="majorHAnsi" w:eastAsiaTheme="majorEastAsia" w:hAnsiTheme="majorHAnsi" w:cstheme="majorBidi"/>
      <w:i/>
      <w:iCs/>
      <w:color w:val="4F81BD" w:themeColor="accent1"/>
      <w:spacing w:val="15"/>
      <w:sz w:val="24"/>
      <w:szCs w:val="24"/>
    </w:rPr>
  </w:style>
  <w:style w:type="paragraph" w:styleId="af9">
    <w:name w:val="No Spacing"/>
    <w:uiPriority w:val="1"/>
    <w:qFormat/>
    <w:rsid w:val="003A548C"/>
    <w:rPr>
      <w:rFonts w:asciiTheme="minorHAnsi" w:eastAsiaTheme="minorEastAsia" w:hAnsiTheme="minorHAnsi" w:cstheme="minorBidi"/>
      <w:sz w:val="22"/>
      <w:szCs w:val="22"/>
      <w:lang w:eastAsia="en-US" w:bidi="en-US"/>
    </w:rPr>
  </w:style>
  <w:style w:type="paragraph" w:styleId="afa">
    <w:name w:val="List Paragraph"/>
    <w:basedOn w:val="a"/>
    <w:uiPriority w:val="34"/>
    <w:qFormat/>
    <w:rsid w:val="003A548C"/>
    <w:pPr>
      <w:ind w:left="720"/>
      <w:contextualSpacing/>
    </w:pPr>
  </w:style>
  <w:style w:type="paragraph" w:styleId="afb">
    <w:name w:val="Quote"/>
    <w:basedOn w:val="a"/>
    <w:next w:val="a"/>
    <w:link w:val="afc"/>
    <w:uiPriority w:val="29"/>
    <w:qFormat/>
    <w:rsid w:val="003A548C"/>
    <w:rPr>
      <w:i/>
      <w:iCs/>
      <w:color w:val="000000" w:themeColor="text1"/>
    </w:rPr>
  </w:style>
  <w:style w:type="character" w:customStyle="1" w:styleId="afc">
    <w:name w:val="引用 字符"/>
    <w:basedOn w:val="a0"/>
    <w:link w:val="afb"/>
    <w:uiPriority w:val="29"/>
    <w:qFormat/>
    <w:rsid w:val="003A548C"/>
    <w:rPr>
      <w:i/>
      <w:iCs/>
      <w:color w:val="000000" w:themeColor="text1"/>
    </w:rPr>
  </w:style>
  <w:style w:type="paragraph" w:styleId="afd">
    <w:name w:val="Intense Quote"/>
    <w:basedOn w:val="a"/>
    <w:next w:val="a"/>
    <w:link w:val="afe"/>
    <w:uiPriority w:val="30"/>
    <w:qFormat/>
    <w:rsid w:val="003A548C"/>
    <w:pPr>
      <w:pBdr>
        <w:bottom w:val="single" w:sz="4" w:space="4" w:color="4F81BD" w:themeColor="accent1"/>
      </w:pBdr>
      <w:spacing w:before="200" w:after="280"/>
      <w:ind w:left="936" w:right="936"/>
    </w:pPr>
    <w:rPr>
      <w:b/>
      <w:bCs/>
      <w:i/>
      <w:iCs/>
      <w:color w:val="4F81BD" w:themeColor="accent1"/>
    </w:rPr>
  </w:style>
  <w:style w:type="character" w:customStyle="1" w:styleId="afe">
    <w:name w:val="明显引用 字符"/>
    <w:basedOn w:val="a0"/>
    <w:link w:val="afd"/>
    <w:uiPriority w:val="30"/>
    <w:qFormat/>
    <w:rsid w:val="003A548C"/>
    <w:rPr>
      <w:b/>
      <w:bCs/>
      <w:i/>
      <w:iCs/>
      <w:color w:val="4F81BD" w:themeColor="accent1"/>
    </w:rPr>
  </w:style>
  <w:style w:type="character" w:customStyle="1" w:styleId="11">
    <w:name w:val="不明显强调1"/>
    <w:basedOn w:val="a0"/>
    <w:uiPriority w:val="19"/>
    <w:qFormat/>
    <w:rsid w:val="003A548C"/>
    <w:rPr>
      <w:i/>
      <w:iCs/>
      <w:color w:val="808080" w:themeColor="text1" w:themeTint="7F"/>
    </w:rPr>
  </w:style>
  <w:style w:type="character" w:customStyle="1" w:styleId="12">
    <w:name w:val="明显强调1"/>
    <w:basedOn w:val="a0"/>
    <w:uiPriority w:val="21"/>
    <w:qFormat/>
    <w:rsid w:val="003A548C"/>
    <w:rPr>
      <w:b/>
      <w:bCs/>
      <w:i/>
      <w:iCs/>
      <w:color w:val="4F81BD" w:themeColor="accent1"/>
    </w:rPr>
  </w:style>
  <w:style w:type="character" w:customStyle="1" w:styleId="13">
    <w:name w:val="不明显参考1"/>
    <w:basedOn w:val="a0"/>
    <w:uiPriority w:val="31"/>
    <w:qFormat/>
    <w:rsid w:val="003A548C"/>
    <w:rPr>
      <w:smallCaps/>
      <w:color w:val="C0504D" w:themeColor="accent2"/>
      <w:u w:val="single"/>
    </w:rPr>
  </w:style>
  <w:style w:type="character" w:customStyle="1" w:styleId="14">
    <w:name w:val="明显参考1"/>
    <w:basedOn w:val="a0"/>
    <w:uiPriority w:val="32"/>
    <w:qFormat/>
    <w:rsid w:val="003A548C"/>
    <w:rPr>
      <w:b/>
      <w:bCs/>
      <w:smallCaps/>
      <w:color w:val="C0504D" w:themeColor="accent2"/>
      <w:spacing w:val="5"/>
      <w:u w:val="single"/>
    </w:rPr>
  </w:style>
  <w:style w:type="character" w:customStyle="1" w:styleId="15">
    <w:name w:val="书籍标题1"/>
    <w:basedOn w:val="a0"/>
    <w:uiPriority w:val="33"/>
    <w:qFormat/>
    <w:rsid w:val="003A548C"/>
    <w:rPr>
      <w:b/>
      <w:bCs/>
      <w:smallCaps/>
      <w:spacing w:val="5"/>
    </w:rPr>
  </w:style>
  <w:style w:type="paragraph" w:customStyle="1" w:styleId="TOC1">
    <w:name w:val="TOC 标题1"/>
    <w:basedOn w:val="1"/>
    <w:next w:val="a"/>
    <w:uiPriority w:val="39"/>
    <w:semiHidden/>
    <w:unhideWhenUsed/>
    <w:qFormat/>
    <w:rsid w:val="003A548C"/>
    <w:pPr>
      <w:outlineLvl w:val="9"/>
    </w:pPr>
  </w:style>
  <w:style w:type="character" w:customStyle="1" w:styleId="ad">
    <w:name w:val="页眉 字符"/>
    <w:basedOn w:val="a0"/>
    <w:link w:val="ac"/>
    <w:uiPriority w:val="99"/>
    <w:semiHidden/>
    <w:qFormat/>
    <w:rsid w:val="003A548C"/>
    <w:rPr>
      <w:sz w:val="18"/>
      <w:szCs w:val="18"/>
    </w:rPr>
  </w:style>
  <w:style w:type="character" w:customStyle="1" w:styleId="ab">
    <w:name w:val="页脚 字符"/>
    <w:basedOn w:val="a0"/>
    <w:link w:val="aa"/>
    <w:uiPriority w:val="99"/>
    <w:qFormat/>
    <w:rsid w:val="003A548C"/>
    <w:rPr>
      <w:sz w:val="18"/>
      <w:szCs w:val="18"/>
    </w:rPr>
  </w:style>
  <w:style w:type="paragraph" w:customStyle="1" w:styleId="p0">
    <w:name w:val="p0"/>
    <w:basedOn w:val="a"/>
    <w:qFormat/>
    <w:rsid w:val="003A548C"/>
    <w:pPr>
      <w:spacing w:after="0" w:line="240" w:lineRule="auto"/>
    </w:pPr>
    <w:rPr>
      <w:rFonts w:ascii="ˎ̥" w:eastAsia="宋体" w:hAnsi="ˎ̥" w:cs="宋体"/>
      <w:sz w:val="24"/>
      <w:szCs w:val="24"/>
      <w:lang w:eastAsia="zh-CN" w:bidi="ar-SA"/>
    </w:rPr>
  </w:style>
  <w:style w:type="character" w:customStyle="1" w:styleId="a6">
    <w:name w:val="批注文字 字符"/>
    <w:basedOn w:val="a0"/>
    <w:link w:val="a4"/>
    <w:uiPriority w:val="99"/>
    <w:semiHidden/>
    <w:qFormat/>
    <w:rsid w:val="003A548C"/>
  </w:style>
  <w:style w:type="character" w:customStyle="1" w:styleId="a5">
    <w:name w:val="批注主题 字符"/>
    <w:basedOn w:val="a6"/>
    <w:link w:val="a3"/>
    <w:uiPriority w:val="99"/>
    <w:semiHidden/>
    <w:qFormat/>
    <w:rsid w:val="003A548C"/>
    <w:rPr>
      <w:b/>
      <w:bCs/>
    </w:rPr>
  </w:style>
  <w:style w:type="character" w:customStyle="1" w:styleId="a9">
    <w:name w:val="批注框文本 字符"/>
    <w:basedOn w:val="a0"/>
    <w:link w:val="a8"/>
    <w:uiPriority w:val="99"/>
    <w:semiHidden/>
    <w:qFormat/>
    <w:rsid w:val="003A54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F3629-9CAC-44E9-831A-551DA3CE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yhf</dc:creator>
  <cp:lastModifiedBy>张淼</cp:lastModifiedBy>
  <cp:revision>13</cp:revision>
  <cp:lastPrinted>2019-06-26T08:58:00Z</cp:lastPrinted>
  <dcterms:created xsi:type="dcterms:W3CDTF">2019-06-27T03:01:00Z</dcterms:created>
  <dcterms:modified xsi:type="dcterms:W3CDTF">2019-09-01T01:22:00Z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2052-10.1.0.7398</vt:lpwstr>
  </property>
</Properties>
</file>