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5E4" w:rsidRPr="00DF65E4" w:rsidRDefault="00DF65E4" w:rsidP="00DF65E4">
      <w:pPr>
        <w:jc w:val="center"/>
        <w:rPr>
          <w:rFonts w:ascii="方正小标宋简体" w:eastAsia="方正小标宋简体"/>
          <w:sz w:val="44"/>
          <w:szCs w:val="44"/>
        </w:rPr>
      </w:pPr>
      <w:r w:rsidRPr="00DF65E4">
        <w:rPr>
          <w:rFonts w:ascii="方正小标宋简体" w:eastAsia="方正小标宋简体" w:hint="eastAsia"/>
          <w:sz w:val="44"/>
          <w:szCs w:val="44"/>
        </w:rPr>
        <w:t>政府会计准则——基本准则</w:t>
      </w:r>
    </w:p>
    <w:p w:rsidR="004D471E" w:rsidRPr="004D471E" w:rsidRDefault="004D471E" w:rsidP="00DF65E4">
      <w:pPr>
        <w:jc w:val="center"/>
        <w:rPr>
          <w:rFonts w:ascii="仿宋_GB2312" w:eastAsia="仿宋_GB2312"/>
          <w:sz w:val="32"/>
          <w:szCs w:val="32"/>
        </w:rPr>
      </w:pPr>
      <w:r w:rsidRPr="004D471E">
        <w:rPr>
          <w:rFonts w:ascii="仿宋_GB2312" w:eastAsia="仿宋_GB2312" w:hint="eastAsia"/>
          <w:sz w:val="32"/>
          <w:szCs w:val="32"/>
        </w:rPr>
        <w:t>中华人民共和国财政部令第78号</w:t>
      </w:r>
    </w:p>
    <w:p w:rsidR="004D471E" w:rsidRPr="004D471E" w:rsidRDefault="004D471E" w:rsidP="00DF65E4">
      <w:pPr>
        <w:jc w:val="center"/>
        <w:rPr>
          <w:rFonts w:ascii="仿宋_GB2312" w:eastAsia="仿宋_GB2312"/>
          <w:sz w:val="32"/>
          <w:szCs w:val="32"/>
        </w:rPr>
      </w:pPr>
      <w:r w:rsidRPr="004D471E">
        <w:rPr>
          <w:rFonts w:ascii="仿宋_GB2312" w:eastAsia="仿宋_GB2312" w:hint="eastAsia"/>
          <w:sz w:val="32"/>
          <w:szCs w:val="32"/>
        </w:rPr>
        <w:t>第一章　总 则</w:t>
      </w:r>
    </w:p>
    <w:p w:rsidR="004D471E" w:rsidRPr="004D471E" w:rsidRDefault="004D471E" w:rsidP="00735D43">
      <w:pPr>
        <w:ind w:firstLineChars="200" w:firstLine="640"/>
        <w:rPr>
          <w:rFonts w:ascii="仿宋_GB2312" w:eastAsia="仿宋_GB2312"/>
          <w:sz w:val="32"/>
          <w:szCs w:val="32"/>
        </w:rPr>
      </w:pPr>
      <w:r w:rsidRPr="004D471E">
        <w:rPr>
          <w:rFonts w:ascii="仿宋_GB2312" w:eastAsia="仿宋_GB2312" w:hint="eastAsia"/>
          <w:sz w:val="32"/>
          <w:szCs w:val="32"/>
        </w:rPr>
        <w:t>第一条　为了规范政府的会计核算，保证会计信息质量，根据《中华人民共和国会计法》、《中华人民共和国预算法》和其他有关法律、行政法规，制定本准则。</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第二条 本准则适用于各级政府、各部门、各单位(以下统称政府会计主体)。</w:t>
      </w:r>
      <w:bookmarkStart w:id="0" w:name="_GoBack"/>
      <w:bookmarkEnd w:id="0"/>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前款所称各部门、各单位是指与本级政府财政部门直接或者间接发生预算拨款关系的国家机关、军队、政党组织、社会团体、事业单位和其他单位。</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军队、已纳入企业财务管理体系的单位和执行《民间非营利组织会计制度》的社会团体，不适用本准则。</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第三条　政府会计由预算会计和财务会计构成。</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预算会计实行收付实现制，国务院另有规定的，依照其规定。</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财务会计实行权责发生制。</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第四条 政府会计具体准则及其应用指南、政府会计制度等，应当由财政部遵循本准则制定。</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第五条　政府会计主体应当编制决算报告和财务报告。</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决算报告的目标是向决算报告使用者提供与政府预算执行情况有关的信息，综合反映政府会计主体预算收支的年</w:t>
      </w:r>
      <w:r w:rsidRPr="004D471E">
        <w:rPr>
          <w:rFonts w:ascii="仿宋_GB2312" w:eastAsia="仿宋_GB2312" w:hint="eastAsia"/>
          <w:sz w:val="32"/>
          <w:szCs w:val="32"/>
        </w:rPr>
        <w:lastRenderedPageBreak/>
        <w:t>度执行结果，有助于决算报告使用者进行监督和管理，并为编制后续年度预算提供参考和依据。政府决算报告使用者包括各级人民代表大会及其常务委员会、各级政府及其有关部门、政府会计主体自身、社会公众和其他利益相关者。</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财务报告的目标是向财务报告使用者提供与政府的财务状况、运行情况(含运行成本，下同)和现金流量等有关信息，反映政府会计主体公共受托责任履行情况，有助于财务报告使用者作出决策或者进行监督和管理。政府财务报告使用者包括各级人民代表大会常务委员会、债权人、各级政府及其有关部门、政府会计主体自身和其他利益相关者。</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第六条　政府会计主体应当对其自身发生的经济业务或者事项进行会计核算。</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第七条　政府会计核算应当以政府会计主体持续运行为前提。</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第八条　政府会计核算应当划分会计期间，分期结算账目，按规定编制决算报告和财务报告。</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会计期间至少分为年度和月度。会计年度、月度等会计期间的起讫日期采用公历日期。</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第九条　政府会计核算应当以人民币作为记账本位币。发生外币业务时，应当将有关外币金额折算为人民币金额计量，同时登记外币金额。</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第十条　政府会计核算应当采用借贷记账法记账。</w:t>
      </w:r>
    </w:p>
    <w:p w:rsidR="004D471E" w:rsidRPr="004D471E" w:rsidRDefault="004D471E" w:rsidP="00DF65E4">
      <w:pPr>
        <w:jc w:val="center"/>
        <w:rPr>
          <w:rFonts w:ascii="仿宋_GB2312" w:eastAsia="仿宋_GB2312"/>
          <w:sz w:val="32"/>
          <w:szCs w:val="32"/>
        </w:rPr>
      </w:pPr>
      <w:r w:rsidRPr="004D471E">
        <w:rPr>
          <w:rFonts w:ascii="仿宋_GB2312" w:eastAsia="仿宋_GB2312" w:hint="eastAsia"/>
          <w:sz w:val="32"/>
          <w:szCs w:val="32"/>
        </w:rPr>
        <w:lastRenderedPageBreak/>
        <w:t>第二章　政府会计信息质量要求</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第十一条　政府会计主体应当以实际发生的经济业务或者事项为依据进行会计核算，如实反映各项会计要素的情况和结果，保证会计信息真实可靠。</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第十二条 政府会计主体应当将发生的各项经济业务或者事项统一纳入会计核算，确保会计信息能够全面反映政府会计主体预算执行情况和财务状况、运行情况、现金流量等。</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第十三条　政府会计主体提供的会计信息，应当与反映政府会计主体公共受托责任履行情况以及报告使用者决策或者监督、管理的需要相关，有助于报告使用者对政府会计主体过去、现在或者未来的情况作出评价或者预测。</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第十四条 政府会计主体对已经发生的经济业务或者事项，应当及时进行会计核算，不得提前或者延后。</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第十五条 政府会计主体提供的会计信息应当具有可比性。</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同一政府会计主体不同时期发生的相同或者相似的经济业务或者事项，应当采用一致的会计政策，不得随意变更。确需变更的，应当将变更的内容、理由及其影响在附注中予以说明。</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不同政府会计主体发生的相同或者相似的经济业务或者事项，应当采用一致的会计政策，确保政府会计信息口径一致，相互可比。</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lastRenderedPageBreak/>
        <w:t xml:space="preserve">　　第十六条　政府会计主体提供的会计信息应当清晰明了，便于报告使用者理解和使用。</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第十七条 政府会计主体应当按照经济业务或者事项的经济实质进行会计核算，不限于以经济业务或者事项的法律形式为依据。</w:t>
      </w:r>
    </w:p>
    <w:p w:rsidR="004D471E" w:rsidRPr="004D471E" w:rsidRDefault="004D471E" w:rsidP="00DF65E4">
      <w:pPr>
        <w:jc w:val="center"/>
        <w:rPr>
          <w:rFonts w:ascii="仿宋_GB2312" w:eastAsia="仿宋_GB2312"/>
          <w:sz w:val="32"/>
          <w:szCs w:val="32"/>
        </w:rPr>
      </w:pPr>
      <w:r w:rsidRPr="004D471E">
        <w:rPr>
          <w:rFonts w:ascii="仿宋_GB2312" w:eastAsia="仿宋_GB2312" w:hint="eastAsia"/>
          <w:sz w:val="32"/>
          <w:szCs w:val="32"/>
        </w:rPr>
        <w:t>第三章　政府预算会计要素</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第十八条　政府预算会计要素包括预算收入、预算支出与预算结余。</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第十九条 预算收入是指政府会计主体在预算年度内依法取得的并纳入预算管理的现金流入。</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第二十条 预算收入一般在实际收到时予以确认，以实际收到的金额计量。</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第二十一条 预算支出是指政府会计主体在预算年度内依法发生并纳入预算管理的现金流出。</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第二十二条 预算支出一般在实际支付时予以确认，以实际支付的金额计量。</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第二十三条 预算结余是指政府会计主体预算年度内预算收入扣除预算支出后的资金余额，以及历年滚存的资金余额。</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第二十四条 预算结余包括结余资金和结转资金。</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结余资金是指年度预算执行终了，预算收入实际完成数扣除预算支出和结转资金后剩余的资金。</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lastRenderedPageBreak/>
        <w:t xml:space="preserve">　　结转资金是指预算安排项目的支出年终尚未执行完毕或者因故未执行，且下年需要按原用途继续使用的资金。</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第二十五条 符合预算收入、预算支出和预算结余定义及其确认条件的项目应当列入政府决算报表。</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第四章 政府财务会计要素</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第二十六条　政府财务会计要素包括资产、负债、净资产、收入和费用。</w:t>
      </w:r>
    </w:p>
    <w:p w:rsidR="004D471E" w:rsidRPr="004D471E" w:rsidRDefault="004D471E" w:rsidP="00DF65E4">
      <w:pPr>
        <w:jc w:val="center"/>
        <w:rPr>
          <w:rFonts w:ascii="仿宋_GB2312" w:eastAsia="仿宋_GB2312"/>
          <w:sz w:val="32"/>
          <w:szCs w:val="32"/>
        </w:rPr>
      </w:pPr>
      <w:r w:rsidRPr="004D471E">
        <w:rPr>
          <w:rFonts w:ascii="仿宋_GB2312" w:eastAsia="仿宋_GB2312" w:hint="eastAsia"/>
          <w:sz w:val="32"/>
          <w:szCs w:val="32"/>
        </w:rPr>
        <w:t>第一节 资 产</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第二十七条 资产是指政府会计主体过去的经济业务或者事项形成的，由政府会计主体控制的，预期能够产生服务潜力或者带来经济利益流入的经济资源。</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服务潜力是指政府会计主体利用资产提供公共产品和服务以履行政府职能的潜在能力。</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经济利益流入表现为现金及现金等价物的流入，或者现金及现金等价物流出的减少。</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第二十八条 政府会计主体的资产按照流动性，分为流动资产和非流动资产。</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流动资产是指预计在1年内(含1年)耗用或者可以变现的资产，包括货币资金、短期投资、应收及预付款项、存货等。</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非流动资产是指流动资产以外的资产，包括固定资产、在建工程、无形资产、长期投资、公共基础设施、政府储备</w:t>
      </w:r>
      <w:r w:rsidRPr="004D471E">
        <w:rPr>
          <w:rFonts w:ascii="仿宋_GB2312" w:eastAsia="仿宋_GB2312" w:hint="eastAsia"/>
          <w:sz w:val="32"/>
          <w:szCs w:val="32"/>
        </w:rPr>
        <w:lastRenderedPageBreak/>
        <w:t>资产、文物文化资产、保障性住房和自然资源资产等。</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第二十九条　符合本准则第二十七条规定的资产定义的经济资源，在同时满足以下条件时，确认为资产：</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(一)与该经济资源相关的服务潜力很可能实现或者经济利益很可能流入政府会计主体;</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(二)该经济资源的成本或者价值能够可靠地计量。</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第三十条　资产的计量属性主要包括历史成本、重置成本、现值、公允价值和名义金额。</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在历史成本计量下，资产按照取得时支付的现金金额或者支付对价的公允价值计量。</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在重置成本计量下，资产按照现在购买相同或者相似资产所需支付的现金金额计量。</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在现值计量下，资产按照预计从其持续使用和最终处置中所产生的未来净现金流入量的折现金额计量。</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在公允价值计量下，资产按照市场参与者在计量日发生的有序交易中，出售资产所能收到的价格计量。</w:t>
      </w:r>
    </w:p>
    <w:p w:rsidR="004D471E" w:rsidRPr="004D471E" w:rsidRDefault="00DF65E4" w:rsidP="004D471E">
      <w:pPr>
        <w:rPr>
          <w:rFonts w:ascii="仿宋_GB2312" w:eastAsia="仿宋_GB2312"/>
          <w:sz w:val="32"/>
          <w:szCs w:val="32"/>
        </w:rPr>
      </w:pPr>
      <w:r>
        <w:rPr>
          <w:rFonts w:ascii="仿宋_GB2312" w:eastAsia="仿宋_GB2312" w:hint="eastAsia"/>
          <w:sz w:val="32"/>
          <w:szCs w:val="32"/>
        </w:rPr>
        <w:t xml:space="preserve">    </w:t>
      </w:r>
      <w:r w:rsidR="004D471E" w:rsidRPr="004D471E">
        <w:rPr>
          <w:rFonts w:ascii="仿宋_GB2312" w:eastAsia="仿宋_GB2312" w:hint="eastAsia"/>
          <w:sz w:val="32"/>
          <w:szCs w:val="32"/>
        </w:rPr>
        <w:t>无法采用上述计量属性的，采用名义金额(即人民币1元)计量。</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第三十一条 政府会计主体在对资产进行计量时，一般应当采用历史成本。采用重置成本、现值、公允价值计量的，应当保证所确定的资产金额能够持续、可靠计量。</w:t>
      </w:r>
    </w:p>
    <w:p w:rsidR="004D471E" w:rsidRPr="004D471E" w:rsidRDefault="004D471E" w:rsidP="004D471E">
      <w:pPr>
        <w:rPr>
          <w:rFonts w:ascii="仿宋_GB2312" w:eastAsia="仿宋_GB2312"/>
          <w:sz w:val="32"/>
          <w:szCs w:val="32"/>
        </w:rPr>
      </w:pP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lastRenderedPageBreak/>
        <w:t xml:space="preserve">　　第三十二条 符合资产定义和资产确认条件的项目，应当列入资产负债表。</w:t>
      </w:r>
    </w:p>
    <w:p w:rsidR="004D471E" w:rsidRPr="004D471E" w:rsidRDefault="004D471E" w:rsidP="00DF65E4">
      <w:pPr>
        <w:jc w:val="center"/>
        <w:rPr>
          <w:rFonts w:ascii="仿宋_GB2312" w:eastAsia="仿宋_GB2312"/>
          <w:sz w:val="32"/>
          <w:szCs w:val="32"/>
        </w:rPr>
      </w:pPr>
      <w:r w:rsidRPr="004D471E">
        <w:rPr>
          <w:rFonts w:ascii="仿宋_GB2312" w:eastAsia="仿宋_GB2312" w:hint="eastAsia"/>
          <w:sz w:val="32"/>
          <w:szCs w:val="32"/>
        </w:rPr>
        <w:t>第二节 负 债</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第三十三条　负债是指政府会计主体过去的经济业务或者事项形成的，预期会导致经济资源流出政府会计主体的现时义务。</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现时义务是指政府会计主体在现行条件下已承担的义务。未来发生的经济业务或者事项形成的义务不属于现时义务，不应当确认为负债。</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第三十四条 政府会计主体的负债按照流动性，分为流动负债和非流动负债。</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流动负债是指预计在1年内(含1年)偿还的负债，包括应付及预收款项、应付职工薪酬、应缴款项等。</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非流动负债是指流动负债以外的负债，包括长期应付款、应付政府债券和政府依法担保形成的债务等。</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第三十五条 符合本准则第三十三条规定的负债定义的义务，在同时满足以下条件时，确认为负债：</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(一)履行该义务很可能导致含有服务潜力或者经济利益的经济资源流出政府会计主体；</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(二)该义务的金额能够可靠地计量。</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第三十六条 负债的计量属性主要包括历史成本、现值和公允价值。</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lastRenderedPageBreak/>
        <w:t xml:space="preserve">　　在历史成本计量下，负债按照因承担现时义务而实际收到的款项或者资产的金额，或者承担现时义务的合同金额，或者按照为偿还负债预期需要支付的现金计量。</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在现值计量下，负债按照预计期限内需要偿还的未来净现金流出量的折现金额计量。</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在公允价值计量下，负债按照市场参与者在计量日发生的有序交易中，转移负债所需支付的价格计量。</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第三十七条 政府会计主体在对负债进行计量时，一般应当采用历史成本。</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采用现值、公允价值计量的，应当保证所确定的负债金额能够持续、可靠计量。</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第三十八条　符合负债定义和负债确认条件的项目，应当列入资产负债表。</w:t>
      </w:r>
    </w:p>
    <w:p w:rsidR="004D471E" w:rsidRPr="004D471E" w:rsidRDefault="004D471E" w:rsidP="00DF65E4">
      <w:pPr>
        <w:jc w:val="center"/>
        <w:rPr>
          <w:rFonts w:ascii="仿宋_GB2312" w:eastAsia="仿宋_GB2312"/>
          <w:sz w:val="32"/>
          <w:szCs w:val="32"/>
        </w:rPr>
      </w:pPr>
      <w:r w:rsidRPr="004D471E">
        <w:rPr>
          <w:rFonts w:ascii="仿宋_GB2312" w:eastAsia="仿宋_GB2312" w:hint="eastAsia"/>
          <w:sz w:val="32"/>
          <w:szCs w:val="32"/>
        </w:rPr>
        <w:t>第三节 净资产</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第三十九条 净资产是指政府会计主体资产扣除负债后的净额。</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第四十条 净资产金额取决于资产和负债的计量。 　　</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第四十一条 净资产项目应当列入资产负债表。</w:t>
      </w:r>
    </w:p>
    <w:p w:rsidR="004D471E" w:rsidRPr="004D471E" w:rsidRDefault="004D471E" w:rsidP="00DF65E4">
      <w:pPr>
        <w:jc w:val="center"/>
        <w:rPr>
          <w:rFonts w:ascii="仿宋_GB2312" w:eastAsia="仿宋_GB2312"/>
          <w:sz w:val="32"/>
          <w:szCs w:val="32"/>
        </w:rPr>
      </w:pPr>
      <w:r w:rsidRPr="004D471E">
        <w:rPr>
          <w:rFonts w:ascii="仿宋_GB2312" w:eastAsia="仿宋_GB2312" w:hint="eastAsia"/>
          <w:sz w:val="32"/>
          <w:szCs w:val="32"/>
        </w:rPr>
        <w:t>第四节 收 入</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第四十二条　收入是指报告期内导致政府会计主体净资产增加的、含有服务潜力或者经济利益的经济资源的流入。</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第四十三条　收入的确认应当同时满足以下条件：</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lastRenderedPageBreak/>
        <w:t xml:space="preserve">　　(一)与收入相关的含有服务潜力或者经济利益的经济资源很可能流入政府会计主体；</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(二)含有服务潜力或者经济利益的经济资源流入会导致政府会计主体资产增加或者负债减少；</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(三)流入金额能够可靠地计量。</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第四十四条 符合收入定义和收入确认条件的项目，应当列入收入费用表。</w:t>
      </w:r>
    </w:p>
    <w:p w:rsidR="004D471E" w:rsidRPr="004D471E" w:rsidRDefault="004D471E" w:rsidP="00DF65E4">
      <w:pPr>
        <w:jc w:val="center"/>
        <w:rPr>
          <w:rFonts w:ascii="仿宋_GB2312" w:eastAsia="仿宋_GB2312"/>
          <w:sz w:val="32"/>
          <w:szCs w:val="32"/>
        </w:rPr>
      </w:pPr>
      <w:r w:rsidRPr="004D471E">
        <w:rPr>
          <w:rFonts w:ascii="仿宋_GB2312" w:eastAsia="仿宋_GB2312" w:hint="eastAsia"/>
          <w:sz w:val="32"/>
          <w:szCs w:val="32"/>
        </w:rPr>
        <w:t>第五节 费 用</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第四十五条 费用是指报告期内导致政府会计主体净资产减少的、含有服务潜力或者经济利益的经济资源的流出。</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第四十六条 费用的确认应当同时满足以下条件：</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(一)与费用相关的含有服务潜力或者经济利益的经济资源很可能流出政府会计主体;</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(二)含有服务潜力或者经济利益的经济资源流出会导致政府会计主体资产减少或者负债增加;</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(三)流出金额能够可靠地计量。</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第四十七条 符合费用定义和费用确认条件的项目，应当列入收入费用表。</w:t>
      </w:r>
    </w:p>
    <w:p w:rsidR="004D471E" w:rsidRPr="004D471E" w:rsidRDefault="004D471E" w:rsidP="00DF65E4">
      <w:pPr>
        <w:jc w:val="center"/>
        <w:rPr>
          <w:rFonts w:ascii="仿宋_GB2312" w:eastAsia="仿宋_GB2312"/>
          <w:sz w:val="32"/>
          <w:szCs w:val="32"/>
        </w:rPr>
      </w:pPr>
      <w:r w:rsidRPr="004D471E">
        <w:rPr>
          <w:rFonts w:ascii="仿宋_GB2312" w:eastAsia="仿宋_GB2312" w:hint="eastAsia"/>
          <w:sz w:val="32"/>
          <w:szCs w:val="32"/>
        </w:rPr>
        <w:t>第五章　政府决算报告和财务报告</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第四十八条 政府决算报告是综合反映政府会计主体年度预算收支执行结果的文件。</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政府决算报告应当包括决算报表和其他应当在决算报</w:t>
      </w:r>
      <w:r w:rsidRPr="004D471E">
        <w:rPr>
          <w:rFonts w:ascii="仿宋_GB2312" w:eastAsia="仿宋_GB2312" w:hint="eastAsia"/>
          <w:sz w:val="32"/>
          <w:szCs w:val="32"/>
        </w:rPr>
        <w:lastRenderedPageBreak/>
        <w:t>告中反映的相关信息和资料。</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政府决算报告的具体内容及编制要求等，由财政部另行规定。</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第四十九条 政府财务报告是反映政府会计主体某一特定日期的财务状况和某一会计期间的运行情况和现金流量等信息的文件。</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政府财务报告应当包括财务报表和其他应当在财务报告中披露的相关信息和资料。</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第五十条 政府财务报告包括政府综合财务报告和政府部门财务报告。</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政府综合财务报告是指由政府财政部门编制的，反映各级政府整体财务状况、运行情况和财政中长期可持续性的报告。</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政府部门财务报告是指政府各部门、各单位按规定编制的财务报告。</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第五十一条 财务报表是对政府会计主体财务状况、运行情况和现金流量等信息的结构性表述。</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财务报表包括会计报表和附注。</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会计报表至少应当包括资产负债表、收入费用表和现金流量表。</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政府会计主体应当根据相关规定编制合并财务报表。</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第五十二条　资产负债表是反映政府会计主体在某一</w:t>
      </w:r>
      <w:r w:rsidRPr="004D471E">
        <w:rPr>
          <w:rFonts w:ascii="仿宋_GB2312" w:eastAsia="仿宋_GB2312" w:hint="eastAsia"/>
          <w:sz w:val="32"/>
          <w:szCs w:val="32"/>
        </w:rPr>
        <w:lastRenderedPageBreak/>
        <w:t>特定日期的财务状况的报表。</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第五十三条　收入费用表是反映政府会计主体在一定会计期间运行情况的报表。</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第五十四条　现金流量表是反映政府会计主体在一定会计期间现金及现金等价物流入和流出情况的报表。</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第五十五条　附注是对在资产负债表、收入费用表、现金流量表等报表中列示项目所作的进一步说明，以及对未能在这些报表中列示项目的说明。</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第五十六条 政府决算报告的编制主要以收付实现制为基础，以预算会计核算生成的数据为准。</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政府财务报告的编制主要以权责发生制为基础，以财务会计核算生成的数据为准。</w:t>
      </w:r>
    </w:p>
    <w:p w:rsidR="004D471E" w:rsidRPr="004D471E" w:rsidRDefault="004D471E" w:rsidP="00DF65E4">
      <w:pPr>
        <w:jc w:val="center"/>
        <w:rPr>
          <w:rFonts w:ascii="仿宋_GB2312" w:eastAsia="仿宋_GB2312"/>
          <w:sz w:val="32"/>
          <w:szCs w:val="32"/>
        </w:rPr>
      </w:pPr>
      <w:r w:rsidRPr="004D471E">
        <w:rPr>
          <w:rFonts w:ascii="仿宋_GB2312" w:eastAsia="仿宋_GB2312" w:hint="eastAsia"/>
          <w:sz w:val="32"/>
          <w:szCs w:val="32"/>
        </w:rPr>
        <w:t>第六章　附 则</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第五十七条 本准则所称会计核算，包括会计确认、计量、记录和报告各个环节，涵盖填制会计凭证、登记会计账簿、编制报告全过程。</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第五十八条 本准则所称预算会计，是指以收付实现制为基础对政府会计主体预算执行过程中发生的全部收入和全部支出进行会计核算，主要反映和监督预算收支执行情况的会计。</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第五十九条 本准则所称财务会计，是指以权责发生制为基础对政府会计主体发生的各项经济业务或者事项进行</w:t>
      </w:r>
      <w:r w:rsidRPr="004D471E">
        <w:rPr>
          <w:rFonts w:ascii="仿宋_GB2312" w:eastAsia="仿宋_GB2312" w:hint="eastAsia"/>
          <w:sz w:val="32"/>
          <w:szCs w:val="32"/>
        </w:rPr>
        <w:lastRenderedPageBreak/>
        <w:t>会计核算，主要反映和监督政府会计主体财务状况、运行情况和现金流量等的会计。</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第六十条 本准则所称收付实现制，是指以现金的实际收付为标志来确定本期收入和支出的会计核算基础。凡在当期实际收到的现金收入和支出，均应作为当期的收入和支出;凡是不属于当期的现金收入和支出，均不应当作为当期的收入和支出。</w:t>
      </w:r>
    </w:p>
    <w:p w:rsidR="004D471E"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第六十一条 本准则所称权责发生制，是指以取得收取款项的权利或支付款项的义务为标志来确定本期收入和费用的会计核算基础。凡是当期已经实现的收入和已经发生的或应当负担的费用，不论款项是否收付，都应当作为当期的收入和费用;凡是不属于当期的收入和费用，即使款项已在当期收付，也不应当作为当期的收入和费用。</w:t>
      </w:r>
    </w:p>
    <w:p w:rsidR="00DF3782" w:rsidRPr="004D471E" w:rsidRDefault="004D471E" w:rsidP="004D471E">
      <w:pPr>
        <w:rPr>
          <w:rFonts w:ascii="仿宋_GB2312" w:eastAsia="仿宋_GB2312"/>
          <w:sz w:val="32"/>
          <w:szCs w:val="32"/>
        </w:rPr>
      </w:pPr>
      <w:r w:rsidRPr="004D471E">
        <w:rPr>
          <w:rFonts w:ascii="仿宋_GB2312" w:eastAsia="仿宋_GB2312" w:hint="eastAsia"/>
          <w:sz w:val="32"/>
          <w:szCs w:val="32"/>
        </w:rPr>
        <w:t xml:space="preserve">　　第六十二条　本准则自2017年1月1日</w:t>
      </w:r>
    </w:p>
    <w:sectPr w:rsidR="00DF3782" w:rsidRPr="004D47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791" w:rsidRDefault="005B6791" w:rsidP="006B7E6B">
      <w:r>
        <w:separator/>
      </w:r>
    </w:p>
  </w:endnote>
  <w:endnote w:type="continuationSeparator" w:id="0">
    <w:p w:rsidR="005B6791" w:rsidRDefault="005B6791" w:rsidP="006B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791" w:rsidRDefault="005B6791" w:rsidP="006B7E6B">
      <w:r>
        <w:separator/>
      </w:r>
    </w:p>
  </w:footnote>
  <w:footnote w:type="continuationSeparator" w:id="0">
    <w:p w:rsidR="005B6791" w:rsidRDefault="005B6791" w:rsidP="006B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71E"/>
    <w:rsid w:val="004D471E"/>
    <w:rsid w:val="005B6791"/>
    <w:rsid w:val="006B7E6B"/>
    <w:rsid w:val="00735D43"/>
    <w:rsid w:val="00DF3782"/>
    <w:rsid w:val="00DF6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4C98D"/>
  <w15:chartTrackingRefBased/>
  <w15:docId w15:val="{99A36543-E31C-4545-9742-6F06774A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7E6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B7E6B"/>
    <w:rPr>
      <w:sz w:val="18"/>
      <w:szCs w:val="18"/>
    </w:rPr>
  </w:style>
  <w:style w:type="paragraph" w:styleId="a5">
    <w:name w:val="footer"/>
    <w:basedOn w:val="a"/>
    <w:link w:val="a6"/>
    <w:uiPriority w:val="99"/>
    <w:unhideWhenUsed/>
    <w:rsid w:val="006B7E6B"/>
    <w:pPr>
      <w:tabs>
        <w:tab w:val="center" w:pos="4153"/>
        <w:tab w:val="right" w:pos="8306"/>
      </w:tabs>
      <w:snapToGrid w:val="0"/>
      <w:jc w:val="left"/>
    </w:pPr>
    <w:rPr>
      <w:sz w:val="18"/>
      <w:szCs w:val="18"/>
    </w:rPr>
  </w:style>
  <w:style w:type="character" w:customStyle="1" w:styleId="a6">
    <w:name w:val="页脚 字符"/>
    <w:basedOn w:val="a0"/>
    <w:link w:val="a5"/>
    <w:uiPriority w:val="99"/>
    <w:rsid w:val="006B7E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4293193254</TotalTime>
  <Pages>12</Pages>
  <Words>793</Words>
  <Characters>4521</Characters>
  <Application>Microsoft Office Word</Application>
  <DocSecurity>0</DocSecurity>
  <Lines>37</Lines>
  <Paragraphs>10</Paragraphs>
  <ScaleCrop>false</ScaleCrop>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张淼</dc:creator>
  <cp:keywords/>
  <dc:description/>
  <cp:lastModifiedBy>tourist</cp:lastModifiedBy>
  <cp:revision>3</cp:revision>
  <dcterms:created xsi:type="dcterms:W3CDTF">2019-06-13T03:48:00Z</dcterms:created>
  <dcterms:modified xsi:type="dcterms:W3CDTF">2016-12-28T08:56:00Z</dcterms:modified>
</cp:coreProperties>
</file>